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ABD7" w14:textId="46CBE34A" w:rsidR="00D50323" w:rsidRDefault="0084794A" w:rsidP="00D50323">
      <w:pPr>
        <w:pStyle w:val="Titel"/>
        <w:spacing w:before="240" w:after="120"/>
        <w:rPr>
          <w:rFonts w:ascii="Cambria" w:hAnsi="Cambria"/>
          <w:b/>
          <w:color w:val="1F4E79" w:themeColor="accent1" w:themeShade="80"/>
          <w:sz w:val="28"/>
        </w:rPr>
      </w:pPr>
      <w:r w:rsidRPr="0084794A">
        <w:rPr>
          <w:rFonts w:ascii="Cambria" w:hAnsi="Cambria"/>
          <w:bCs/>
          <w:color w:val="1F4E79" w:themeColor="accent1" w:themeShade="80"/>
          <w:sz w:val="24"/>
        </w:rPr>
        <w:t>Wolfgang Borchert „Die Küchenuhr“</w:t>
      </w:r>
      <w:r w:rsidRPr="0084794A">
        <w:rPr>
          <w:rFonts w:ascii="Cambria" w:hAnsi="Cambria"/>
          <w:bCs/>
          <w:color w:val="1F4E79" w:themeColor="accent1" w:themeShade="80"/>
          <w:sz w:val="28"/>
        </w:rPr>
        <w:br/>
      </w:r>
      <w:r w:rsidR="00EC6601" w:rsidRPr="00EC6601">
        <w:rPr>
          <w:rFonts w:ascii="Cambria" w:hAnsi="Cambria"/>
          <w:b/>
          <w:color w:val="1F4E79" w:themeColor="accent1" w:themeShade="80"/>
          <w:sz w:val="28"/>
        </w:rPr>
        <w:t>Den Beginn einer Musterinterpretation analysieren</w:t>
      </w:r>
    </w:p>
    <w:p w14:paraId="0697B935" w14:textId="77777777" w:rsidR="005B3103" w:rsidRDefault="005B3103" w:rsidP="005B3103">
      <w:pPr>
        <w:spacing w:after="0"/>
        <w:jc w:val="both"/>
        <w:rPr>
          <w:rFonts w:ascii="Cambria" w:hAnsi="Cambria"/>
          <w:sz w:val="20"/>
          <w:szCs w:val="20"/>
          <w:lang w:eastAsia="de-DE"/>
        </w:rPr>
        <w:sectPr w:rsidR="005B3103" w:rsidSect="00BE52A5">
          <w:headerReference w:type="default" r:id="rId7"/>
          <w:footerReference w:type="default" r:id="rId8"/>
          <w:type w:val="continuous"/>
          <w:pgSz w:w="11906" w:h="16838"/>
          <w:pgMar w:top="1417" w:right="1417" w:bottom="1134" w:left="1417" w:header="708" w:footer="708" w:gutter="0"/>
          <w:cols w:space="708"/>
          <w:docGrid w:linePitch="360"/>
        </w:sectPr>
      </w:pPr>
    </w:p>
    <w:p w14:paraId="681D2EC3" w14:textId="66EBFEB8" w:rsidR="005B3103" w:rsidRP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Jeder hat heutzutage bei uns Bilder vom Krieg und von Menschen im Krieg im Kopf. Die ganz Alten hierzulande und viele hundert deutsche Soldaten, die im Ausland ihren Dienst in sogenannten "Friedensmissionen" in Afghanistan, Mali oder sonstwo leisten, haben ihn unmittelbar erlebt, viele Millionen andere glauben, ihn zu kennen durch die Bilder, die ihnen durch die Medien vermittelt werden.</w:t>
      </w:r>
    </w:p>
    <w:p w14:paraId="4297E287" w14:textId="77777777" w:rsidR="005B3103" w:rsidRP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Wer Wolfgang Borcherts Kurzgeschichte »Die Küchenuhr« liest, die wird je nachdem, wie stark diese inneren Bilder sind und welche Dynamik sie entfalten, sie schon nach den ersten Zeilen mitnehmen, wenn er sich in die weitere Geschichte vertieft.</w:t>
      </w:r>
      <w:bookmarkStart w:id="0" w:name="_GoBack"/>
      <w:bookmarkEnd w:id="0"/>
    </w:p>
    <w:p w14:paraId="57DA4044" w14:textId="77777777" w:rsidR="005B3103" w:rsidRP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So kann es sein, dass man sich versetzt glaubt nach »Dresden in die unmittelbare »Zeit nach dem Feuersturm vom 14. Februar 1945, nach »Homs in das vom jahrelangen Bürgerkrieg geschundene Syrien oder in das »jeminitische »Sa’da, das die von »Saudi-Arabien angeführte Militärallianz 2015 als Ganzes zu einem "militärischen" Ziel erklärt und im Bombenkrieg verwüstet hat. Und unter und zwischen oder auch ohne solche realitätsbezogenen Bilder können sich noch "Kriegseindrücke" aus einschlägigen Hollywood-Blockbustern oder virtuellen War-Games mengen.</w:t>
      </w:r>
    </w:p>
    <w:p w14:paraId="6AE047C4" w14:textId="77777777" w:rsidR="005B3103" w:rsidRP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Wolfgang Borchert hat seine Geschichte knapp zwei Jahre nach dem Ende des Zweiten Weltkriegs im Jahre 1947 verfasst und im selben Jahr wurde sie in der Hamburger Allgemeinen Zeitung erstmals veröffentlicht. Borchert, der wie kaum ein anderer als Autor die so genannte "Stunde Null" repräsentiert, deren Menschen im ausgebombten und kriegszerstörten Deutschland er in etlichen Kurzgeschichten und vor allem seinem Heimkehrer-Drama "Draußen vor der Tür“ eine Stimme gab, starb noch im gleichen Jahr im Alter von 26 Jahren an den Folgen seiner Kriegsverletzungen, die er sich während mehrerer Einsätze an der Front zugezogen hatte, wohin er, wenn er während des Krieges nicht wegen des Verdachts auf Selbstverstümmelung und wegen Briefen, die angeblich "heimtückisch“ gegen den NS-Staat und die Partei Hitlers gerichtet waren, im Gefängnis saß, solange zur "Frontbewährung" abkommandiert wurde, bis man ihm wegen Erfrierungen an beiden Füßen, Anfällen von Gelbsucht und Fleckfiebers "Frontdienstuntauglichkeit" attestierte und ihn wieder wegen "Wehrkraftzersetzung“ für neun Monate in Untersuchungshaft steckte. Danach: Noch einmal "Strafaufschub zwecks Feindbewährung", französische Kriegsgefangenschaft und Flucht daraus nach Hamburg, wo er, ohne auf seinen gesundheitlichen Zustand Rücksicht zu nehmen, auf dem Krankenlager unablässig schreibt und mit seinen Werken einen regelrechten "Borchert-Rummel" auslöst. Kaum ein Autor hat den Nerv seiner Zeit so getroffen, wie Wolfgang Borchert. Allerdings bleiben im gerade mal zwei Jahre zum Schreiben seiner Werke, die oft ohne ihren Gehalt auch nur annähernd zu erfassen oft einfach als "Trümmerliteratur" bezeichnet werden.</w:t>
      </w:r>
    </w:p>
    <w:p w14:paraId="392E2CF4" w14:textId="77777777" w:rsidR="005B3103" w:rsidRP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Das Bild, das Borcherts Geschichte an ihrem Anfang erzeugt, ist, ein Blick in bzw. auf ein "ganz altes Gesicht" (Z. 1f., 2, 61, Hervorh. d. Verf.) eines jungen Mannes (Antithese), der gerade mal zwanzig Jahre alt ist. Das Gesicht, das nicht zu einem jungen Mann passt, der sich ansonsten noch so bewegt, wie das junge Leute dieses Alters tun, fällt auch den Menschen sofort auf, als er auf sie zukommt und sich zu ihnen auf die Bank setzt. Dem jungen Mann scheint regelrecht ins Gesicht geschrieben zu sein, was er erlebt hat und so erwähnt es auch der Erzähler erneut, als er berichtet, der junge Mann "setzte sich mit seinem alten Gesicht zu ihnen auf die Bank." (Z. 2f.) Sein um Jahre gealtertes Gesicht spricht Bände und dennoch kommen die Erlebnisse, die es bewirkt haben, zwischen den Banknachbarn, erwähnt werden eine Frau mit einem Kinderwagen (Z. 14f.) und ein Mann (Z. 14, 25), nicht zur Sprache.</w:t>
      </w:r>
    </w:p>
    <w:p w14:paraId="5BB7A1E0" w14:textId="77777777" w:rsidR="005B3103" w:rsidRDefault="005B3103" w:rsidP="005B3103">
      <w:pPr>
        <w:spacing w:after="0"/>
        <w:jc w:val="both"/>
        <w:rPr>
          <w:rFonts w:ascii="Cambria" w:hAnsi="Cambria"/>
          <w:sz w:val="20"/>
          <w:szCs w:val="20"/>
          <w:lang w:eastAsia="de-DE"/>
        </w:rPr>
      </w:pPr>
      <w:r w:rsidRPr="005B3103">
        <w:rPr>
          <w:rFonts w:ascii="Cambria" w:hAnsi="Cambria"/>
          <w:sz w:val="20"/>
          <w:szCs w:val="20"/>
          <w:lang w:eastAsia="de-DE"/>
        </w:rPr>
        <w:t>Der junge Mann beginnt zu reden, ohne angesprochen worden zu sein oder ohne dass sonstige positiven Signale zur Aufnahme einer Kommunikation von den anderen gesendet worden sind. Was er sagt, bewegt ihn offenbar so, dass er es einfach aussprechen muss</w:t>
      </w:r>
      <w:r>
        <w:rPr>
          <w:rFonts w:ascii="Cambria" w:hAnsi="Cambria"/>
          <w:sz w:val="20"/>
          <w:szCs w:val="20"/>
          <w:lang w:eastAsia="de-DE"/>
        </w:rPr>
        <w:t>.</w:t>
      </w:r>
    </w:p>
    <w:p w14:paraId="0841FF4E" w14:textId="611AC9AB" w:rsidR="005B3103" w:rsidRDefault="005B3103" w:rsidP="005B3103">
      <w:pPr>
        <w:spacing w:after="0"/>
        <w:jc w:val="both"/>
        <w:rPr>
          <w:rFonts w:ascii="Cambria" w:hAnsi="Cambria"/>
          <w:sz w:val="20"/>
          <w:szCs w:val="20"/>
          <w:lang w:eastAsia="de-DE"/>
        </w:rPr>
        <w:sectPr w:rsidR="005B3103" w:rsidSect="005B3103">
          <w:type w:val="continuous"/>
          <w:pgSz w:w="11906" w:h="16838"/>
          <w:pgMar w:top="1418" w:right="1418" w:bottom="1134" w:left="1418" w:header="709" w:footer="709" w:gutter="0"/>
          <w:lnNumType w:countBy="5" w:restart="newSection"/>
          <w:cols w:space="708"/>
          <w:docGrid w:linePitch="360"/>
        </w:sectPr>
      </w:pPr>
    </w:p>
    <w:p w14:paraId="7641369E" w14:textId="07BDB05B" w:rsidR="00B8107B" w:rsidRPr="005B3103" w:rsidRDefault="00B8107B" w:rsidP="005B3103">
      <w:pPr>
        <w:spacing w:before="360" w:after="0"/>
        <w:rPr>
          <w:b/>
          <w:sz w:val="22"/>
          <w:szCs w:val="22"/>
        </w:rPr>
      </w:pPr>
      <w:r w:rsidRPr="005B3103">
        <w:rPr>
          <w:b/>
          <w:sz w:val="22"/>
          <w:szCs w:val="22"/>
        </w:rPr>
        <w:t>Arbeitsanregungen:</w:t>
      </w:r>
    </w:p>
    <w:p w14:paraId="177D01DB" w14:textId="4BA8E551" w:rsidR="005B3103" w:rsidRPr="005B3103" w:rsidRDefault="005B3103" w:rsidP="005B3103">
      <w:pPr>
        <w:pStyle w:val="StandardWeb"/>
        <w:spacing w:before="60" w:beforeAutospacing="0" w:after="60" w:afterAutospacing="0"/>
        <w:rPr>
          <w:rFonts w:asciiTheme="minorHAnsi" w:hAnsiTheme="minorHAnsi" w:cs="Arial"/>
          <w:sz w:val="20"/>
          <w:szCs w:val="20"/>
        </w:rPr>
      </w:pPr>
      <w:r w:rsidRPr="005B3103">
        <w:rPr>
          <w:rFonts w:asciiTheme="minorHAnsi" w:hAnsiTheme="minorHAnsi" w:cs="Arial"/>
          <w:sz w:val="20"/>
          <w:szCs w:val="20"/>
        </w:rPr>
        <w:t>Untersuchen Sie den Anfang der Interpretation der Kurzgeschichte.</w:t>
      </w:r>
    </w:p>
    <w:p w14:paraId="31BCF092" w14:textId="77777777" w:rsidR="005B3103" w:rsidRPr="005B3103" w:rsidRDefault="005B3103" w:rsidP="005B3103">
      <w:pPr>
        <w:numPr>
          <w:ilvl w:val="0"/>
          <w:numId w:val="20"/>
        </w:numPr>
        <w:spacing w:after="0" w:line="240" w:lineRule="auto"/>
        <w:rPr>
          <w:rFonts w:cs="Arial"/>
          <w:sz w:val="20"/>
          <w:szCs w:val="20"/>
        </w:rPr>
      </w:pPr>
      <w:r w:rsidRPr="005B3103">
        <w:rPr>
          <w:rFonts w:cs="Arial"/>
          <w:sz w:val="20"/>
          <w:szCs w:val="20"/>
        </w:rPr>
        <w:t>Beschreiben Sie dabei, wie der Verfasser bei seiner Interpretation vorgeht.</w:t>
      </w:r>
    </w:p>
    <w:p w14:paraId="46D9B8AD" w14:textId="44532E18" w:rsidR="00D50323" w:rsidRPr="005B3103" w:rsidRDefault="005B3103" w:rsidP="005B3103">
      <w:pPr>
        <w:numPr>
          <w:ilvl w:val="0"/>
          <w:numId w:val="20"/>
        </w:numPr>
        <w:spacing w:after="0" w:line="240" w:lineRule="auto"/>
        <w:rPr>
          <w:rFonts w:cs="Arial"/>
          <w:sz w:val="20"/>
          <w:szCs w:val="20"/>
        </w:rPr>
      </w:pPr>
      <w:r w:rsidRPr="005B3103">
        <w:rPr>
          <w:rFonts w:cs="Arial"/>
          <w:sz w:val="20"/>
          <w:szCs w:val="20"/>
        </w:rPr>
        <w:t>Welche Interpretationsaspekte kommen zur Sprache?</w:t>
      </w:r>
    </w:p>
    <w:sectPr w:rsidR="00D50323" w:rsidRPr="005B3103" w:rsidSect="00BE52A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817F" w14:textId="77777777" w:rsidR="00BC2E6F" w:rsidRDefault="00BC2E6F" w:rsidP="00C955A5">
      <w:pPr>
        <w:spacing w:after="0" w:line="240" w:lineRule="auto"/>
      </w:pPr>
      <w:r>
        <w:separator/>
      </w:r>
    </w:p>
  </w:endnote>
  <w:endnote w:type="continuationSeparator" w:id="0">
    <w:p w14:paraId="748DE7F3" w14:textId="77777777" w:rsidR="00BC2E6F" w:rsidRDefault="00BC2E6F"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DA59" w14:textId="77777777" w:rsidR="001F58D7" w:rsidRPr="0063664B" w:rsidRDefault="001F58D7" w:rsidP="00150ADF">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9504" behindDoc="0" locked="0" layoutInCell="1" allowOverlap="1" wp14:anchorId="73ECDFC1" wp14:editId="6150D58A">
          <wp:simplePos x="0" y="0"/>
          <wp:positionH relativeFrom="column">
            <wp:posOffset>5084041</wp:posOffset>
          </wp:positionH>
          <wp:positionV relativeFrom="paragraph">
            <wp:posOffset>188537</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noProof/>
        <w:lang w:eastAsia="de-DE"/>
      </w:rPr>
      <w:drawing>
        <wp:anchor distT="0" distB="0" distL="114300" distR="114300" simplePos="0" relativeHeight="251665408" behindDoc="0" locked="0" layoutInCell="1" allowOverlap="1" wp14:anchorId="751CF4A8" wp14:editId="72E2D5F4">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Pr>
        <w:rFonts w:ascii="Cambria" w:hAnsi="Cambria" w:cs="Helvetica Neue"/>
        <w:sz w:val="16"/>
        <w:szCs w:val="16"/>
      </w:rPr>
      <w:br/>
    </w:r>
    <w:r w:rsidRPr="0063664B">
      <w:rPr>
        <w:rFonts w:ascii="Cambria" w:hAnsi="Cambria" w:cs="Helvetica Neue"/>
        <w:sz w:val="16"/>
        <w:szCs w:val="16"/>
      </w:rPr>
      <w:t xml:space="preserve">CC-BY-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E624" w14:textId="77777777" w:rsidR="00BC2E6F" w:rsidRDefault="00BC2E6F" w:rsidP="00C955A5">
      <w:pPr>
        <w:spacing w:after="0" w:line="240" w:lineRule="auto"/>
      </w:pPr>
      <w:r>
        <w:separator/>
      </w:r>
    </w:p>
  </w:footnote>
  <w:footnote w:type="continuationSeparator" w:id="0">
    <w:p w14:paraId="381E8560" w14:textId="77777777" w:rsidR="00BC2E6F" w:rsidRDefault="00BC2E6F"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C9A5" w14:textId="7D7EC824" w:rsidR="001F58D7" w:rsidRPr="00DA66C6" w:rsidRDefault="001F58D7" w:rsidP="00DA66C6">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7456" behindDoc="0" locked="0" layoutInCell="1" allowOverlap="1" wp14:anchorId="3D5C1487" wp14:editId="108C5D88">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ab/>
      <w:t xml:space="preserve">                                                            </w:t>
    </w:r>
    <w:r w:rsidRPr="003B0F77">
      <w:rPr>
        <w:rFonts w:asciiTheme="majorHAnsi" w:hAnsiTheme="majorHAnsi"/>
        <w:sz w:val="20"/>
      </w:rPr>
      <w:t xml:space="preserve">teachSam-OER </w:t>
    </w:r>
    <w:r>
      <w:rPr>
        <w:rFonts w:asciiTheme="majorHAnsi" w:hAnsiTheme="majorHAnsi"/>
        <w:sz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ECE"/>
    <w:multiLevelType w:val="multilevel"/>
    <w:tmpl w:val="715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1562F"/>
    <w:multiLevelType w:val="multilevel"/>
    <w:tmpl w:val="19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61330"/>
    <w:multiLevelType w:val="hybridMultilevel"/>
    <w:tmpl w:val="A336F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565D3C"/>
    <w:multiLevelType w:val="hybridMultilevel"/>
    <w:tmpl w:val="0CD0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C464EE"/>
    <w:multiLevelType w:val="multilevel"/>
    <w:tmpl w:val="B81C7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62371BE"/>
    <w:multiLevelType w:val="multilevel"/>
    <w:tmpl w:val="C750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AA632E"/>
    <w:multiLevelType w:val="multilevel"/>
    <w:tmpl w:val="3E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3"/>
  </w:num>
  <w:num w:numId="4">
    <w:abstractNumId w:val="8"/>
  </w:num>
  <w:num w:numId="5">
    <w:abstractNumId w:val="3"/>
  </w:num>
  <w:num w:numId="6">
    <w:abstractNumId w:val="6"/>
  </w:num>
  <w:num w:numId="7">
    <w:abstractNumId w:val="11"/>
  </w:num>
  <w:num w:numId="8">
    <w:abstractNumId w:val="12"/>
  </w:num>
  <w:num w:numId="9">
    <w:abstractNumId w:val="4"/>
  </w:num>
  <w:num w:numId="10">
    <w:abstractNumId w:val="7"/>
  </w:num>
  <w:num w:numId="11">
    <w:abstractNumId w:val="16"/>
  </w:num>
  <w:num w:numId="12">
    <w:abstractNumId w:val="15"/>
  </w:num>
  <w:num w:numId="13">
    <w:abstractNumId w:val="5"/>
  </w:num>
  <w:num w:numId="14">
    <w:abstractNumId w:val="1"/>
  </w:num>
  <w:num w:numId="15">
    <w:abstractNumId w:val="19"/>
  </w:num>
  <w:num w:numId="16">
    <w:abstractNumId w:val="0"/>
  </w:num>
  <w:num w:numId="17">
    <w:abstractNumId w:val="14"/>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E7"/>
    <w:rsid w:val="00017F51"/>
    <w:rsid w:val="00035E58"/>
    <w:rsid w:val="000A20F0"/>
    <w:rsid w:val="000D2E14"/>
    <w:rsid w:val="00105EE3"/>
    <w:rsid w:val="00150ADF"/>
    <w:rsid w:val="00182507"/>
    <w:rsid w:val="001A4A84"/>
    <w:rsid w:val="001C0AB7"/>
    <w:rsid w:val="001F58D7"/>
    <w:rsid w:val="00217978"/>
    <w:rsid w:val="002269DF"/>
    <w:rsid w:val="002C5DD1"/>
    <w:rsid w:val="002F4B73"/>
    <w:rsid w:val="0030505B"/>
    <w:rsid w:val="00325C1A"/>
    <w:rsid w:val="00371E86"/>
    <w:rsid w:val="003A3F98"/>
    <w:rsid w:val="003D5192"/>
    <w:rsid w:val="003D669A"/>
    <w:rsid w:val="003E7F7B"/>
    <w:rsid w:val="0040051A"/>
    <w:rsid w:val="00495941"/>
    <w:rsid w:val="004A74E2"/>
    <w:rsid w:val="004C59BF"/>
    <w:rsid w:val="004F58BC"/>
    <w:rsid w:val="004F5C12"/>
    <w:rsid w:val="00521182"/>
    <w:rsid w:val="00533CFC"/>
    <w:rsid w:val="00540C85"/>
    <w:rsid w:val="00545C7E"/>
    <w:rsid w:val="005614B9"/>
    <w:rsid w:val="005670E7"/>
    <w:rsid w:val="005B27B2"/>
    <w:rsid w:val="005B3103"/>
    <w:rsid w:val="005B4C4C"/>
    <w:rsid w:val="005F21A1"/>
    <w:rsid w:val="005F709E"/>
    <w:rsid w:val="00602185"/>
    <w:rsid w:val="00632E74"/>
    <w:rsid w:val="0063664B"/>
    <w:rsid w:val="00696837"/>
    <w:rsid w:val="006B12CB"/>
    <w:rsid w:val="00700E27"/>
    <w:rsid w:val="00703E09"/>
    <w:rsid w:val="00706888"/>
    <w:rsid w:val="00764610"/>
    <w:rsid w:val="007766BA"/>
    <w:rsid w:val="007838E0"/>
    <w:rsid w:val="0079326F"/>
    <w:rsid w:val="00797FB7"/>
    <w:rsid w:val="007A1EB4"/>
    <w:rsid w:val="007F30F4"/>
    <w:rsid w:val="00800F3D"/>
    <w:rsid w:val="008257A5"/>
    <w:rsid w:val="00826921"/>
    <w:rsid w:val="00846ABB"/>
    <w:rsid w:val="0084794A"/>
    <w:rsid w:val="00851B57"/>
    <w:rsid w:val="00870D7A"/>
    <w:rsid w:val="008968DE"/>
    <w:rsid w:val="00897402"/>
    <w:rsid w:val="008A6AA5"/>
    <w:rsid w:val="008E4B60"/>
    <w:rsid w:val="009E4790"/>
    <w:rsid w:val="009F20C4"/>
    <w:rsid w:val="00A21971"/>
    <w:rsid w:val="00A2643B"/>
    <w:rsid w:val="00A33B8D"/>
    <w:rsid w:val="00A35E0C"/>
    <w:rsid w:val="00A6143A"/>
    <w:rsid w:val="00A73344"/>
    <w:rsid w:val="00A85C23"/>
    <w:rsid w:val="00A95F59"/>
    <w:rsid w:val="00AE17EA"/>
    <w:rsid w:val="00B8107B"/>
    <w:rsid w:val="00B867DF"/>
    <w:rsid w:val="00BA74FC"/>
    <w:rsid w:val="00BC2E6F"/>
    <w:rsid w:val="00BC4031"/>
    <w:rsid w:val="00BD27BC"/>
    <w:rsid w:val="00BE52A5"/>
    <w:rsid w:val="00BF1537"/>
    <w:rsid w:val="00C457CD"/>
    <w:rsid w:val="00C7337E"/>
    <w:rsid w:val="00C8533D"/>
    <w:rsid w:val="00C955A5"/>
    <w:rsid w:val="00CA3B56"/>
    <w:rsid w:val="00CE3A79"/>
    <w:rsid w:val="00D25FD8"/>
    <w:rsid w:val="00D50323"/>
    <w:rsid w:val="00D771C5"/>
    <w:rsid w:val="00D81164"/>
    <w:rsid w:val="00DA66C6"/>
    <w:rsid w:val="00DB1F21"/>
    <w:rsid w:val="00DE068D"/>
    <w:rsid w:val="00E2524E"/>
    <w:rsid w:val="00E83192"/>
    <w:rsid w:val="00EC0439"/>
    <w:rsid w:val="00EC6601"/>
    <w:rsid w:val="00F019A6"/>
    <w:rsid w:val="00F0365B"/>
    <w:rsid w:val="00F05D7F"/>
    <w:rsid w:val="00F45B0C"/>
    <w:rsid w:val="00F932AD"/>
    <w:rsid w:val="00F96958"/>
    <w:rsid w:val="00FA262C"/>
    <w:rsid w:val="00FA3B1D"/>
    <w:rsid w:val="00FB44A0"/>
    <w:rsid w:val="00FD6827"/>
    <w:rsid w:val="00FD7B80"/>
    <w:rsid w:val="00FF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A7E6"/>
  <w15:chartTrackingRefBased/>
  <w15:docId w15:val="{D17B7A95-C58F-4137-B574-3CADC535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103"/>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unhideWhenUsed/>
    <w:rsid w:val="006366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table" w:styleId="Tabellenraster">
    <w:name w:val="Table Grid"/>
    <w:basedOn w:val="NormaleTabelle"/>
    <w:rsid w:val="00105E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5B3103"/>
    <w:rPr>
      <w:rFonts w:ascii="Cambria" w:hAnsi="Cambria"/>
      <w:sz w:val="20"/>
    </w:rPr>
  </w:style>
  <w:style w:type="character" w:styleId="NichtaufgelsteErwhnung">
    <w:name w:val="Unresolved Mention"/>
    <w:basedOn w:val="Absatz-Standardschriftart"/>
    <w:uiPriority w:val="99"/>
    <w:semiHidden/>
    <w:unhideWhenUsed/>
    <w:rsid w:val="00D5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2166">
      <w:bodyDiv w:val="1"/>
      <w:marLeft w:val="0"/>
      <w:marRight w:val="0"/>
      <w:marTop w:val="0"/>
      <w:marBottom w:val="0"/>
      <w:divBdr>
        <w:top w:val="none" w:sz="0" w:space="0" w:color="auto"/>
        <w:left w:val="none" w:sz="0" w:space="0" w:color="auto"/>
        <w:bottom w:val="none" w:sz="0" w:space="0" w:color="auto"/>
        <w:right w:val="none" w:sz="0" w:space="0" w:color="auto"/>
      </w:divBdr>
    </w:div>
    <w:div w:id="240258168">
      <w:bodyDiv w:val="1"/>
      <w:marLeft w:val="0"/>
      <w:marRight w:val="0"/>
      <w:marTop w:val="0"/>
      <w:marBottom w:val="0"/>
      <w:divBdr>
        <w:top w:val="none" w:sz="0" w:space="0" w:color="auto"/>
        <w:left w:val="none" w:sz="0" w:space="0" w:color="auto"/>
        <w:bottom w:val="none" w:sz="0" w:space="0" w:color="auto"/>
        <w:right w:val="none" w:sz="0" w:space="0" w:color="auto"/>
      </w:divBdr>
    </w:div>
    <w:div w:id="759836073">
      <w:bodyDiv w:val="1"/>
      <w:marLeft w:val="0"/>
      <w:marRight w:val="0"/>
      <w:marTop w:val="0"/>
      <w:marBottom w:val="0"/>
      <w:divBdr>
        <w:top w:val="none" w:sz="0" w:space="0" w:color="auto"/>
        <w:left w:val="none" w:sz="0" w:space="0" w:color="auto"/>
        <w:bottom w:val="none" w:sz="0" w:space="0" w:color="auto"/>
        <w:right w:val="none" w:sz="0" w:space="0" w:color="auto"/>
      </w:divBdr>
    </w:div>
    <w:div w:id="1044327492">
      <w:bodyDiv w:val="1"/>
      <w:marLeft w:val="0"/>
      <w:marRight w:val="0"/>
      <w:marTop w:val="0"/>
      <w:marBottom w:val="0"/>
      <w:divBdr>
        <w:top w:val="none" w:sz="0" w:space="0" w:color="auto"/>
        <w:left w:val="none" w:sz="0" w:space="0" w:color="auto"/>
        <w:bottom w:val="none" w:sz="0" w:space="0" w:color="auto"/>
        <w:right w:val="none" w:sz="0" w:space="0" w:color="auto"/>
      </w:divBdr>
    </w:div>
    <w:div w:id="1319114508">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2043087021">
      <w:bodyDiv w:val="1"/>
      <w:marLeft w:val="0"/>
      <w:marRight w:val="0"/>
      <w:marTop w:val="0"/>
      <w:marBottom w:val="0"/>
      <w:divBdr>
        <w:top w:val="none" w:sz="0" w:space="0" w:color="auto"/>
        <w:left w:val="none" w:sz="0" w:space="0" w:color="auto"/>
        <w:bottom w:val="none" w:sz="0" w:space="0" w:color="auto"/>
        <w:right w:val="none" w:sz="0" w:space="0" w:color="auto"/>
      </w:divBdr>
      <w:divsChild>
        <w:div w:id="27676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3</cp:revision>
  <cp:lastPrinted>2019-06-13T07:47:00Z</cp:lastPrinted>
  <dcterms:created xsi:type="dcterms:W3CDTF">2019-12-17T07:07:00Z</dcterms:created>
  <dcterms:modified xsi:type="dcterms:W3CDTF">2019-12-17T07:16:00Z</dcterms:modified>
</cp:coreProperties>
</file>