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48CA" w14:textId="62A4760B" w:rsidR="00E74BF8" w:rsidRPr="003430E9" w:rsidRDefault="001312DB" w:rsidP="003430E9">
      <w:pPr>
        <w:spacing w:after="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I,2 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p>
    <w:p w14:paraId="667B977F" w14:textId="29A54A30" w:rsidR="003430E9" w:rsidRPr="003430E9" w:rsidRDefault="00E82D61" w:rsidP="00B45206">
      <w:pPr>
        <w:pStyle w:val="berschrift1"/>
        <w:spacing w:after="120"/>
        <w:rPr>
          <w:rFonts w:asciiTheme="majorHAnsi" w:hAnsiTheme="majorHAnsi"/>
          <w:color w:val="1F497D" w:themeColor="text2"/>
          <w:sz w:val="32"/>
          <w:szCs w:val="36"/>
        </w:rPr>
      </w:pPr>
      <w:r w:rsidRPr="00E82D61">
        <w:rPr>
          <w:rFonts w:asciiTheme="majorHAnsi" w:hAnsiTheme="majorHAnsi"/>
          <w:color w:val="1F497D" w:themeColor="text2"/>
          <w:sz w:val="32"/>
          <w:szCs w:val="36"/>
        </w:rPr>
        <w:t>Zuordnung der Sprechakte zu den Sprechakttypen</w:t>
      </w:r>
    </w:p>
    <w:p w14:paraId="4F629E88" w14:textId="77777777" w:rsidR="00E82D61" w:rsidRPr="00E82D61" w:rsidRDefault="00E82D61" w:rsidP="00E82D61">
      <w:pPr>
        <w:jc w:val="both"/>
        <w:rPr>
          <w:rFonts w:ascii="Cambria" w:hAnsi="Cambria"/>
        </w:rPr>
      </w:pPr>
      <w:r w:rsidRPr="00E82D61">
        <w:rPr>
          <w:rFonts w:ascii="Cambria" w:hAnsi="Cambria"/>
        </w:rPr>
        <w:t>Im nachfolgenden Auszug aus dem Dialog von Maria Stuart und Amias Paulet in der zwe</w:t>
      </w:r>
      <w:r w:rsidRPr="00E82D61">
        <w:rPr>
          <w:rFonts w:ascii="Cambria" w:hAnsi="Cambria"/>
        </w:rPr>
        <w:t>i</w:t>
      </w:r>
      <w:r w:rsidRPr="00E82D61">
        <w:rPr>
          <w:rFonts w:ascii="Cambria" w:hAnsi="Cambria"/>
        </w:rPr>
        <w:t xml:space="preserve">ten Szene des 1. Aktes werden </w:t>
      </w:r>
      <w:r w:rsidRPr="00E82D61">
        <w:rPr>
          <w:rFonts w:ascii="Cambria" w:hAnsi="Cambria"/>
          <w:b/>
          <w:bCs/>
        </w:rPr>
        <w:t>partnerbezogene</w:t>
      </w:r>
      <w:r w:rsidRPr="00E82D61">
        <w:rPr>
          <w:rFonts w:ascii="Cambria" w:hAnsi="Cambria"/>
        </w:rPr>
        <w:t xml:space="preserve"> und </w:t>
      </w:r>
      <w:r w:rsidRPr="00E82D61">
        <w:rPr>
          <w:rFonts w:ascii="Cambria" w:hAnsi="Cambria"/>
          <w:b/>
          <w:bCs/>
        </w:rPr>
        <w:t>sprecherbezogene</w:t>
      </w:r>
      <w:r w:rsidRPr="00E82D61">
        <w:rPr>
          <w:rFonts w:ascii="Cambria" w:hAnsi="Cambria"/>
        </w:rPr>
        <w:t xml:space="preserve"> </w:t>
      </w:r>
      <w:r w:rsidRPr="00E82D61">
        <w:rPr>
          <w:rFonts w:ascii="Cambria" w:hAnsi="Cambria"/>
          <w:b/>
          <w:bCs/>
        </w:rPr>
        <w:t>Sprecha</w:t>
      </w:r>
      <w:r w:rsidRPr="00E82D61">
        <w:rPr>
          <w:rFonts w:ascii="Cambria" w:hAnsi="Cambria"/>
          <w:b/>
          <w:bCs/>
        </w:rPr>
        <w:t>k</w:t>
      </w:r>
      <w:r w:rsidRPr="00E82D61">
        <w:rPr>
          <w:rFonts w:ascii="Cambria" w:hAnsi="Cambria"/>
          <w:b/>
          <w:bCs/>
        </w:rPr>
        <w:t>te</w:t>
      </w:r>
      <w:r w:rsidRPr="00E82D61">
        <w:rPr>
          <w:rFonts w:ascii="Cambria" w:hAnsi="Cambria"/>
        </w:rPr>
        <w:t xml:space="preserve"> besonders hervorgehoben. </w:t>
      </w:r>
    </w:p>
    <w:p w14:paraId="6A43BC74" w14:textId="70F0FBB2" w:rsidR="00E82D61" w:rsidRDefault="00E82D61" w:rsidP="00E82D61">
      <w:pPr>
        <w:ind w:left="180" w:hanging="180"/>
        <w:jc w:val="both"/>
      </w:pPr>
      <w:r>
        <w:t>Maria. [...]</w:t>
      </w:r>
      <w:r>
        <w:t xml:space="preserve"> </w:t>
      </w:r>
      <w:r>
        <w:t xml:space="preserve">Sir, </w:t>
      </w:r>
      <w:r>
        <w:rPr>
          <w:i/>
          <w:iCs/>
        </w:rPr>
        <w:t>Ich mache Euch folgenden Vorwurf</w:t>
      </w:r>
      <w:r>
        <w:t>, dass Ihr Euch etwas gewaltsam zug</w:t>
      </w:r>
      <w:r>
        <w:t>e</w:t>
      </w:r>
      <w:r>
        <w:t xml:space="preserve">eignet habt. </w:t>
      </w:r>
      <w:r>
        <w:rPr>
          <w:i/>
          <w:iCs/>
        </w:rPr>
        <w:t>Zugleich teile ich Euch aber mit</w:t>
      </w:r>
      <w:r>
        <w:t>, dass ich das noch heut Euch zu überg</w:t>
      </w:r>
      <w:r>
        <w:t>e</w:t>
      </w:r>
      <w:r>
        <w:t>ben wi</w:t>
      </w:r>
      <w:r>
        <w:t>l</w:t>
      </w:r>
      <w:r>
        <w:t>lens war. Bei diesen Schriften findet sich ein Brief bestimmt für meine königliche Schwester von England</w:t>
      </w:r>
      <w:r>
        <w:rPr>
          <w:i/>
          <w:iCs/>
        </w:rPr>
        <w:t>. Ich bitte Euch darum:</w:t>
      </w:r>
      <w:r>
        <w:t xml:space="preserve"> </w:t>
      </w:r>
      <w:r>
        <w:rPr>
          <w:b/>
          <w:bCs/>
        </w:rPr>
        <w:t>Gebt mir Euer Wort</w:t>
      </w:r>
      <w:r>
        <w:t>, dass Ihr Ihn re</w:t>
      </w:r>
      <w:r>
        <w:t>d</w:t>
      </w:r>
      <w:r>
        <w:t>lich an sie selbst wollt übergeben und nicht in Burleighs ungetreue Hand.</w:t>
      </w:r>
    </w:p>
    <w:p w14:paraId="43A197B7" w14:textId="77777777" w:rsidR="00E82D61" w:rsidRDefault="00E82D61" w:rsidP="00E82D61">
      <w:pPr>
        <w:ind w:left="180" w:hanging="180"/>
        <w:jc w:val="both"/>
      </w:pPr>
      <w:r>
        <w:t xml:space="preserve">Paulet. </w:t>
      </w:r>
      <w:r>
        <w:rPr>
          <w:i/>
          <w:iCs/>
        </w:rPr>
        <w:t>Dazu teile ich Euch mit, dass ich das nicht versprechen kann</w:t>
      </w:r>
      <w:r>
        <w:t>, aber ich werde mich b</w:t>
      </w:r>
      <w:r>
        <w:t>e</w:t>
      </w:r>
      <w:r>
        <w:t>denken, was zu tun ist.</w:t>
      </w:r>
    </w:p>
    <w:p w14:paraId="29461EB3" w14:textId="77777777" w:rsidR="00E82D61" w:rsidRDefault="00E82D61" w:rsidP="00E82D61">
      <w:pPr>
        <w:ind w:left="180" w:hanging="180"/>
        <w:jc w:val="both"/>
      </w:pPr>
      <w:r>
        <w:t xml:space="preserve">Maria. </w:t>
      </w:r>
      <w:r>
        <w:rPr>
          <w:i/>
          <w:iCs/>
        </w:rPr>
        <w:t>Dann mache ich Euch eben eine Mitteilung über den Inhalt</w:t>
      </w:r>
      <w:r>
        <w:t xml:space="preserve">. Ihr sollt den Inhalt wissen, Sir. </w:t>
      </w:r>
      <w:r>
        <w:rPr>
          <w:b/>
          <w:bCs/>
        </w:rPr>
        <w:t>Ich bi</w:t>
      </w:r>
      <w:r>
        <w:rPr>
          <w:b/>
          <w:bCs/>
        </w:rPr>
        <w:t>t</w:t>
      </w:r>
      <w:r>
        <w:rPr>
          <w:b/>
          <w:bCs/>
        </w:rPr>
        <w:t>te</w:t>
      </w:r>
      <w:r>
        <w:t xml:space="preserve"> in diesem Brief um eine große Gunst um eine Unterredung mit ihr selbst, die ich mit Augen nie gesehn. </w:t>
      </w:r>
      <w:r>
        <w:rPr>
          <w:i/>
          <w:iCs/>
        </w:rPr>
        <w:t>Ich muss gestehen</w:t>
      </w:r>
      <w:r>
        <w:t>: Ihr allein, der Schwester, der Königin, der Frau kann ich mich öffnen.</w:t>
      </w:r>
    </w:p>
    <w:p w14:paraId="02147CFE" w14:textId="77777777" w:rsidR="00E82D61" w:rsidRDefault="00E82D61" w:rsidP="00E82D61">
      <w:pPr>
        <w:ind w:left="180" w:hanging="180"/>
        <w:jc w:val="both"/>
      </w:pPr>
      <w:r>
        <w:t xml:space="preserve">Paulet. </w:t>
      </w:r>
      <w:r>
        <w:rPr>
          <w:i/>
          <w:iCs/>
        </w:rPr>
        <w:t>Da muss ich aber schon meinen Kommentar dazu geben, um das Ganze etwas einzuschränken</w:t>
      </w:r>
      <w:r>
        <w:t>: Sehr oft, Mylady, habt Ihr Euer Schicksal und Eure Ehre Männern a</w:t>
      </w:r>
      <w:r>
        <w:t>n</w:t>
      </w:r>
      <w:r>
        <w:t>vertraut, die Eurer Ac</w:t>
      </w:r>
      <w:r>
        <w:t>h</w:t>
      </w:r>
      <w:r>
        <w:t xml:space="preserve">tung minder würdig waren, </w:t>
      </w:r>
      <w:r>
        <w:rPr>
          <w:i/>
          <w:iCs/>
        </w:rPr>
        <w:t>und dafür tadele ich Euch</w:t>
      </w:r>
      <w:r>
        <w:t>.</w:t>
      </w:r>
    </w:p>
    <w:p w14:paraId="670BC615" w14:textId="77777777" w:rsidR="00E82D61" w:rsidRDefault="00E82D61" w:rsidP="00E82D61">
      <w:pPr>
        <w:ind w:left="180" w:hanging="180"/>
        <w:jc w:val="both"/>
      </w:pPr>
      <w:r>
        <w:t xml:space="preserve">Maria. </w:t>
      </w:r>
      <w:r>
        <w:rPr>
          <w:b/>
          <w:bCs/>
        </w:rPr>
        <w:t>Ich bitte</w:t>
      </w:r>
      <w:r>
        <w:t xml:space="preserve"> noch um eine zweite Gunst, Unmenschlichkeit allein kann mir sie we</w:t>
      </w:r>
      <w:r>
        <w:t>i</w:t>
      </w:r>
      <w:r>
        <w:t>gern. Dazu teile ich ihr mit, dass ich schon lange Zeit im Gefängnis der Ki</w:t>
      </w:r>
      <w:r>
        <w:t>r</w:t>
      </w:r>
      <w:r>
        <w:t xml:space="preserve">che Trost, der Sakramente Wohltat entbehre. </w:t>
      </w:r>
    </w:p>
    <w:p w14:paraId="49BAFB1B" w14:textId="77777777" w:rsidR="00E82D61" w:rsidRDefault="00E82D61" w:rsidP="00E82D61">
      <w:pPr>
        <w:ind w:left="180" w:hanging="180"/>
        <w:jc w:val="both"/>
      </w:pPr>
      <w:r>
        <w:t xml:space="preserve">Paulet. </w:t>
      </w:r>
      <w:r>
        <w:rPr>
          <w:i/>
          <w:iCs/>
        </w:rPr>
        <w:t>Da muss ich Euch verbessern und darauf hinweisen:</w:t>
      </w:r>
      <w:r>
        <w:t xml:space="preserve"> Auf Euren Wunsch wird der Dechant des Orts –</w:t>
      </w:r>
    </w:p>
    <w:p w14:paraId="254025BC" w14:textId="77777777" w:rsidR="00E82D61" w:rsidRDefault="00E82D61" w:rsidP="00E82D61">
      <w:pPr>
        <w:jc w:val="both"/>
      </w:pPr>
      <w:r>
        <w:t xml:space="preserve">Maria. </w:t>
      </w:r>
      <w:r>
        <w:rPr>
          <w:i/>
          <w:iCs/>
        </w:rPr>
        <w:t>(unterbricht ihn lebhaft)</w:t>
      </w:r>
      <w:r>
        <w:t xml:space="preserve"> </w:t>
      </w:r>
      <w:r>
        <w:rPr>
          <w:i/>
          <w:iCs/>
        </w:rPr>
        <w:t>Da muss ich widersprechen</w:t>
      </w:r>
      <w:r>
        <w:t>: Ich will nichts vom Decha</w:t>
      </w:r>
      <w:r>
        <w:t>n</w:t>
      </w:r>
      <w:r>
        <w:t xml:space="preserve">ten. Einen Priester von meiner eignen Kirche </w:t>
      </w:r>
      <w:r>
        <w:rPr>
          <w:b/>
          <w:bCs/>
        </w:rPr>
        <w:t>fordre ich</w:t>
      </w:r>
      <w:r>
        <w:t xml:space="preserve">. Auch Schreiber und Notarien </w:t>
      </w:r>
      <w:r>
        <w:rPr>
          <w:b/>
          <w:bCs/>
        </w:rPr>
        <w:t xml:space="preserve">verlang </w:t>
      </w:r>
      <w:proofErr w:type="gramStart"/>
      <w:r>
        <w:rPr>
          <w:b/>
          <w:bCs/>
        </w:rPr>
        <w:t>ich</w:t>
      </w:r>
      <w:proofErr w:type="gramEnd"/>
      <w:r>
        <w:t xml:space="preserve"> um meinen let</w:t>
      </w:r>
      <w:r>
        <w:t>z</w:t>
      </w:r>
      <w:r>
        <w:t>ten Willen aufzusetzen.</w:t>
      </w:r>
    </w:p>
    <w:p w14:paraId="5D58C112" w14:textId="77777777" w:rsidR="00E82D61" w:rsidRDefault="00E82D61" w:rsidP="00E82D61">
      <w:pPr>
        <w:rPr>
          <w:b/>
          <w:bCs/>
        </w:rPr>
      </w:pPr>
      <w:r>
        <w:rPr>
          <w:b/>
          <w:bCs/>
        </w:rPr>
        <w:t>Arbeitsanregungen:</w:t>
      </w:r>
    </w:p>
    <w:p w14:paraId="30F3C45A" w14:textId="77777777" w:rsidR="00E82D61" w:rsidRDefault="00E82D61" w:rsidP="00E82D61">
      <w:pPr>
        <w:numPr>
          <w:ilvl w:val="0"/>
          <w:numId w:val="15"/>
        </w:numPr>
        <w:tabs>
          <w:tab w:val="clear" w:pos="720"/>
          <w:tab w:val="num" w:pos="426"/>
        </w:tabs>
        <w:spacing w:after="120" w:line="240" w:lineRule="auto"/>
        <w:ind w:left="426"/>
      </w:pPr>
      <w:r>
        <w:t xml:space="preserve">Ordnen Sie die Sprechakte folgenden Sprechakttypen zu: </w:t>
      </w:r>
    </w:p>
    <w:p w14:paraId="12C0915B" w14:textId="77777777" w:rsidR="00E82D61" w:rsidRDefault="00E82D61" w:rsidP="00E82D61">
      <w:pPr>
        <w:pStyle w:val="Listenabsatz"/>
        <w:numPr>
          <w:ilvl w:val="0"/>
          <w:numId w:val="18"/>
        </w:numPr>
        <w:spacing w:after="120" w:line="240" w:lineRule="auto"/>
      </w:pPr>
      <w:r>
        <w:t>Partnerbezogene vs. sprecherbezogene Akte</w:t>
      </w:r>
    </w:p>
    <w:p w14:paraId="00950FAD" w14:textId="77777777" w:rsidR="00E82D61" w:rsidRDefault="00E82D61" w:rsidP="00E82D61">
      <w:pPr>
        <w:pStyle w:val="Listenabsatz"/>
        <w:numPr>
          <w:ilvl w:val="0"/>
          <w:numId w:val="18"/>
        </w:numPr>
        <w:spacing w:after="120" w:line="240" w:lineRule="auto"/>
      </w:pPr>
      <w:r>
        <w:t>Mitteilungsakte i. w. Sinne vs. Personen festlegende Akte</w:t>
      </w:r>
    </w:p>
    <w:p w14:paraId="71871B7D" w14:textId="77777777" w:rsidR="00E82D61" w:rsidRDefault="00E82D61" w:rsidP="00E82D61">
      <w:pPr>
        <w:pStyle w:val="Listenabsatz"/>
        <w:numPr>
          <w:ilvl w:val="0"/>
          <w:numId w:val="18"/>
        </w:numPr>
        <w:spacing w:after="120" w:line="240" w:lineRule="auto"/>
      </w:pPr>
      <w:r>
        <w:t>Den Sprecher festlegende vs. den Partner festlegende Akte</w:t>
      </w:r>
    </w:p>
    <w:p w14:paraId="67367ABA" w14:textId="77777777" w:rsidR="00E82D61" w:rsidRDefault="00E82D61" w:rsidP="00E82D61">
      <w:pPr>
        <w:numPr>
          <w:ilvl w:val="0"/>
          <w:numId w:val="15"/>
        </w:numPr>
        <w:tabs>
          <w:tab w:val="clear" w:pos="720"/>
          <w:tab w:val="num" w:pos="426"/>
        </w:tabs>
        <w:spacing w:after="120" w:line="240" w:lineRule="auto"/>
        <w:ind w:left="426"/>
      </w:pPr>
      <w:r>
        <w:t>Worin sehen Sie Gemeinsamkeiten und Unterschiede bei den folgenden Sprecha</w:t>
      </w:r>
      <w:r>
        <w:t>k</w:t>
      </w:r>
      <w:r>
        <w:t>ten Marias:</w:t>
      </w:r>
    </w:p>
    <w:p w14:paraId="300F21BD" w14:textId="77777777" w:rsidR="00E82D61" w:rsidRDefault="00E82D61" w:rsidP="00E82D61">
      <w:pPr>
        <w:pStyle w:val="Listenabsatz"/>
        <w:numPr>
          <w:ilvl w:val="0"/>
          <w:numId w:val="19"/>
        </w:numPr>
        <w:spacing w:after="120" w:line="240" w:lineRule="auto"/>
      </w:pPr>
      <w:r>
        <w:t>"</w:t>
      </w:r>
      <w:r w:rsidRPr="00E82D61">
        <w:rPr>
          <w:b/>
          <w:bCs/>
        </w:rPr>
        <w:t>Ich bi</w:t>
      </w:r>
      <w:r w:rsidRPr="00E82D61">
        <w:rPr>
          <w:b/>
          <w:bCs/>
        </w:rPr>
        <w:t>t</w:t>
      </w:r>
      <w:r w:rsidRPr="00E82D61">
        <w:rPr>
          <w:b/>
          <w:bCs/>
        </w:rPr>
        <w:t>te</w:t>
      </w:r>
      <w:r>
        <w:t xml:space="preserve"> in diesem Brief um..."</w:t>
      </w:r>
    </w:p>
    <w:p w14:paraId="4F8E2647" w14:textId="77777777" w:rsidR="00E82D61" w:rsidRDefault="00E82D61" w:rsidP="00E82D61">
      <w:pPr>
        <w:pStyle w:val="Listenabsatz"/>
        <w:numPr>
          <w:ilvl w:val="0"/>
          <w:numId w:val="19"/>
        </w:numPr>
        <w:spacing w:after="120" w:line="240" w:lineRule="auto"/>
      </w:pPr>
      <w:r>
        <w:t xml:space="preserve">"Einen Priester von meiner eignen Kirche </w:t>
      </w:r>
      <w:r w:rsidRPr="00E82D61">
        <w:rPr>
          <w:b/>
          <w:bCs/>
        </w:rPr>
        <w:t>fordre ich</w:t>
      </w:r>
      <w:r>
        <w:t xml:space="preserve">." </w:t>
      </w:r>
    </w:p>
    <w:p w14:paraId="1B5F4ABC" w14:textId="77777777" w:rsidR="00E82D61" w:rsidRDefault="00E82D61" w:rsidP="00E82D61">
      <w:pPr>
        <w:pStyle w:val="Listenabsatz"/>
        <w:numPr>
          <w:ilvl w:val="0"/>
          <w:numId w:val="19"/>
        </w:numPr>
        <w:spacing w:after="120" w:line="240" w:lineRule="auto"/>
      </w:pPr>
      <w:r>
        <w:t>"Auch Schreiber und No</w:t>
      </w:r>
      <w:r>
        <w:t>t</w:t>
      </w:r>
      <w:r>
        <w:t xml:space="preserve">arien </w:t>
      </w:r>
      <w:r w:rsidRPr="00E82D61">
        <w:rPr>
          <w:b/>
          <w:bCs/>
        </w:rPr>
        <w:t xml:space="preserve">verlang ich </w:t>
      </w:r>
      <w:r>
        <w:t>..."</w:t>
      </w:r>
    </w:p>
    <w:p w14:paraId="476D7C82" w14:textId="4BA8547B" w:rsidR="00B45206" w:rsidRDefault="00E82D61" w:rsidP="00E82D61">
      <w:pPr>
        <w:numPr>
          <w:ilvl w:val="0"/>
          <w:numId w:val="15"/>
        </w:numPr>
        <w:tabs>
          <w:tab w:val="clear" w:pos="720"/>
          <w:tab w:val="num" w:pos="426"/>
        </w:tabs>
        <w:spacing w:after="120" w:line="240" w:lineRule="auto"/>
        <w:ind w:left="426"/>
      </w:pPr>
      <w:r>
        <w:t xml:space="preserve">Machen Sie die Probe: Was passiert, wenn man diese Sprechakte willkürlich tauscht? Ist dies ohne </w:t>
      </w:r>
      <w:r>
        <w:t>weiteres</w:t>
      </w:r>
      <w:r>
        <w:t xml:space="preserve"> möglich? Was spricht eigentlich für die Beibeha</w:t>
      </w:r>
      <w:r>
        <w:t>l</w:t>
      </w:r>
      <w:r>
        <w:t>tung der Version Schillers?</w:t>
      </w:r>
      <w:r w:rsidR="00B45206">
        <w:t xml:space="preserve"> </w:t>
      </w:r>
    </w:p>
    <w:p w14:paraId="7F81DE49" w14:textId="3B5F4C7B" w:rsidR="004F3533" w:rsidRPr="004F3533" w:rsidRDefault="004F3533" w:rsidP="00E0751E">
      <w:pPr>
        <w:jc w:val="both"/>
        <w:rPr>
          <w:b/>
          <w:bCs/>
          <w:sz w:val="24"/>
          <w:szCs w:val="24"/>
        </w:rPr>
      </w:pPr>
      <w:r w:rsidRPr="004F3533">
        <w:rPr>
          <w:b/>
          <w:bCs/>
          <w:sz w:val="24"/>
          <w:szCs w:val="24"/>
        </w:rPr>
        <w:lastRenderedPageBreak/>
        <w:t>Darum geht es bei Sprechakten</w:t>
      </w:r>
    </w:p>
    <w:p w14:paraId="2E5178F2" w14:textId="0A8A87A1" w:rsidR="00E0751E" w:rsidRPr="004F3533" w:rsidRDefault="00E0751E" w:rsidP="004F3533">
      <w:pPr>
        <w:spacing w:after="0"/>
        <w:jc w:val="both"/>
        <w:rPr>
          <w:sz w:val="20"/>
          <w:szCs w:val="20"/>
        </w:rPr>
      </w:pPr>
      <w:r w:rsidRPr="004F3533">
        <w:rPr>
          <w:sz w:val="20"/>
          <w:szCs w:val="20"/>
        </w:rPr>
        <w:t xml:space="preserve">Sprechakte </w:t>
      </w:r>
      <w:r w:rsidRPr="004F3533">
        <w:rPr>
          <w:sz w:val="20"/>
          <w:szCs w:val="20"/>
        </w:rPr>
        <w:t>bezeichnen</w:t>
      </w:r>
      <w:r w:rsidRPr="004F3533">
        <w:rPr>
          <w:sz w:val="20"/>
          <w:szCs w:val="20"/>
        </w:rPr>
        <w:t xml:space="preserve"> Verständigungshandlungen </w:t>
      </w:r>
      <w:r w:rsidRPr="004F3533">
        <w:rPr>
          <w:sz w:val="20"/>
          <w:szCs w:val="20"/>
        </w:rPr>
        <w:t xml:space="preserve">und stellen dafür </w:t>
      </w:r>
      <w:r w:rsidRPr="004F3533">
        <w:rPr>
          <w:sz w:val="20"/>
          <w:szCs w:val="20"/>
        </w:rPr>
        <w:t xml:space="preserve">die kleinsten Einheiten </w:t>
      </w:r>
      <w:r w:rsidRPr="004F3533">
        <w:rPr>
          <w:sz w:val="20"/>
          <w:szCs w:val="20"/>
        </w:rPr>
        <w:t>auf der</w:t>
      </w:r>
      <w:r w:rsidRPr="004F3533">
        <w:rPr>
          <w:sz w:val="20"/>
          <w:szCs w:val="20"/>
        </w:rPr>
        <w:t xml:space="preserve"> Textebene</w:t>
      </w:r>
      <w:r w:rsidRPr="004F3533">
        <w:rPr>
          <w:sz w:val="20"/>
          <w:szCs w:val="20"/>
        </w:rPr>
        <w:t xml:space="preserve"> dar</w:t>
      </w:r>
      <w:r w:rsidRPr="004F3533">
        <w:rPr>
          <w:sz w:val="20"/>
          <w:szCs w:val="20"/>
        </w:rPr>
        <w:t>.</w:t>
      </w:r>
    </w:p>
    <w:p w14:paraId="0699AD97" w14:textId="5B5E5433" w:rsidR="00E0751E" w:rsidRPr="004F3533" w:rsidRDefault="00E0751E" w:rsidP="004F3533">
      <w:pPr>
        <w:spacing w:after="0"/>
        <w:jc w:val="both"/>
        <w:rPr>
          <w:sz w:val="20"/>
          <w:szCs w:val="20"/>
        </w:rPr>
      </w:pPr>
      <w:r w:rsidRPr="004F3533">
        <w:rPr>
          <w:sz w:val="20"/>
          <w:szCs w:val="20"/>
        </w:rPr>
        <w:t>„</w:t>
      </w:r>
      <w:r w:rsidRPr="004F3533">
        <w:rPr>
          <w:sz w:val="20"/>
          <w:szCs w:val="20"/>
        </w:rPr>
        <w:t>Soziale Akte wie Sprechakte sollen</w:t>
      </w:r>
      <w:r w:rsidRPr="004F3533">
        <w:rPr>
          <w:sz w:val="20"/>
          <w:szCs w:val="20"/>
        </w:rPr>
        <w:t xml:space="preserve">“, wie Ulrich Engel (1988, S. </w:t>
      </w:r>
      <w:r w:rsidRPr="004F3533">
        <w:rPr>
          <w:sz w:val="20"/>
          <w:szCs w:val="20"/>
        </w:rPr>
        <w:t>S.35-36</w:t>
      </w:r>
      <w:r w:rsidRPr="004F3533">
        <w:rPr>
          <w:sz w:val="20"/>
          <w:szCs w:val="20"/>
        </w:rPr>
        <w:t>) betont, „i</w:t>
      </w:r>
      <w:r w:rsidRPr="004F3533">
        <w:rPr>
          <w:sz w:val="20"/>
          <w:szCs w:val="20"/>
        </w:rPr>
        <w:t xml:space="preserve">n der Regel etwas bewirken, erreichen, verändern gemäß einer Absicht des Sprechers. Deshalb ist es sinnvoll, die Sprechakte zuerst nach den </w:t>
      </w:r>
      <w:r w:rsidRPr="004F3533">
        <w:rPr>
          <w:b/>
          <w:sz w:val="20"/>
          <w:szCs w:val="20"/>
        </w:rPr>
        <w:t>Intentionen</w:t>
      </w:r>
      <w:r w:rsidRPr="004F3533">
        <w:rPr>
          <w:sz w:val="20"/>
          <w:szCs w:val="20"/>
        </w:rPr>
        <w:t xml:space="preserve"> des Spr</w:t>
      </w:r>
      <w:r w:rsidRPr="004F3533">
        <w:rPr>
          <w:sz w:val="20"/>
          <w:szCs w:val="20"/>
        </w:rPr>
        <w:t>e</w:t>
      </w:r>
      <w:r w:rsidRPr="004F3533">
        <w:rPr>
          <w:sz w:val="20"/>
          <w:szCs w:val="20"/>
        </w:rPr>
        <w:t>chers zu kennzeichnen und zu klassifizieren. Daraus lässt sich eine Grobgliederung gewinnen, die durch folgendes Beispiel veranschaulicht werden kann:</w:t>
      </w:r>
    </w:p>
    <w:p w14:paraId="50A52CE2" w14:textId="77777777" w:rsidR="00E0751E" w:rsidRPr="004F3533" w:rsidRDefault="00E0751E" w:rsidP="004F3533">
      <w:pPr>
        <w:spacing w:after="0"/>
        <w:jc w:val="both"/>
        <w:rPr>
          <w:sz w:val="20"/>
          <w:szCs w:val="20"/>
        </w:rPr>
      </w:pPr>
      <w:r w:rsidRPr="004F3533">
        <w:rPr>
          <w:sz w:val="20"/>
          <w:szCs w:val="20"/>
        </w:rPr>
        <w:t>Ein wenig geübter Freizeitbastler, der, um ein Bild aufzuhängen, einen Nagel in die Wand schlagen will, trifft schlecht und haut den Nagel krumm, jedoch so, dass er fest sitzt, sich also ohne geeignetes Werkzeug nicht mehr herausziehen lässt. Er könnte nun ausrufen:</w:t>
      </w:r>
    </w:p>
    <w:p w14:paraId="6BB7A853" w14:textId="77777777" w:rsidR="00E0751E" w:rsidRPr="004F3533" w:rsidRDefault="00E0751E" w:rsidP="004F3533">
      <w:pPr>
        <w:spacing w:after="0"/>
        <w:ind w:left="708"/>
        <w:jc w:val="both"/>
        <w:rPr>
          <w:i/>
          <w:sz w:val="20"/>
          <w:szCs w:val="20"/>
        </w:rPr>
      </w:pPr>
      <w:r w:rsidRPr="004F3533">
        <w:rPr>
          <w:i/>
          <w:sz w:val="20"/>
          <w:szCs w:val="20"/>
        </w:rPr>
        <w:t>Verdammter Mist!</w:t>
      </w:r>
    </w:p>
    <w:p w14:paraId="7FC16A44" w14:textId="77777777" w:rsidR="00E0751E" w:rsidRPr="004F3533" w:rsidRDefault="00E0751E" w:rsidP="004F3533">
      <w:pPr>
        <w:spacing w:after="0"/>
        <w:jc w:val="both"/>
        <w:rPr>
          <w:sz w:val="20"/>
          <w:szCs w:val="20"/>
        </w:rPr>
      </w:pPr>
      <w:r w:rsidRPr="004F3533">
        <w:rPr>
          <w:sz w:val="20"/>
          <w:szCs w:val="20"/>
        </w:rPr>
        <w:t>Aber er könnte auch sagen:</w:t>
      </w:r>
    </w:p>
    <w:p w14:paraId="3A16A51F" w14:textId="77777777" w:rsidR="00E0751E" w:rsidRPr="004F3533" w:rsidRDefault="00E0751E" w:rsidP="004F3533">
      <w:pPr>
        <w:spacing w:after="0"/>
        <w:ind w:left="708"/>
        <w:jc w:val="both"/>
        <w:rPr>
          <w:i/>
          <w:sz w:val="20"/>
          <w:szCs w:val="20"/>
        </w:rPr>
      </w:pPr>
      <w:r w:rsidRPr="004F3533">
        <w:rPr>
          <w:i/>
          <w:sz w:val="20"/>
          <w:szCs w:val="20"/>
        </w:rPr>
        <w:t>Zange bitte!</w:t>
      </w:r>
    </w:p>
    <w:p w14:paraId="11C957D4" w14:textId="77777777" w:rsidR="00E0751E" w:rsidRPr="004F3533" w:rsidRDefault="00E0751E" w:rsidP="004F3533">
      <w:pPr>
        <w:spacing w:after="0"/>
        <w:jc w:val="both"/>
        <w:rPr>
          <w:sz w:val="20"/>
          <w:szCs w:val="20"/>
        </w:rPr>
      </w:pPr>
      <w:r w:rsidRPr="004F3533">
        <w:rPr>
          <w:sz w:val="20"/>
          <w:szCs w:val="20"/>
        </w:rPr>
        <w:t>Im ersten Fall schimpft er, im zweiten verlangt er ein Werkzeug zur Behebung des ang</w:t>
      </w:r>
      <w:r w:rsidRPr="004F3533">
        <w:rPr>
          <w:sz w:val="20"/>
          <w:szCs w:val="20"/>
        </w:rPr>
        <w:t>e</w:t>
      </w:r>
      <w:r w:rsidRPr="004F3533">
        <w:rPr>
          <w:sz w:val="20"/>
          <w:szCs w:val="20"/>
        </w:rPr>
        <w:t xml:space="preserve">richteten Schadens. </w:t>
      </w:r>
    </w:p>
    <w:p w14:paraId="743B1104" w14:textId="1C217D3B" w:rsidR="00E0751E" w:rsidRPr="004F3533" w:rsidRDefault="00E0751E" w:rsidP="004F3533">
      <w:pPr>
        <w:spacing w:after="0"/>
        <w:jc w:val="both"/>
        <w:rPr>
          <w:sz w:val="20"/>
          <w:szCs w:val="20"/>
        </w:rPr>
      </w:pPr>
      <w:r w:rsidRPr="004F3533">
        <w:rPr>
          <w:sz w:val="20"/>
          <w:szCs w:val="20"/>
        </w:rPr>
        <w:t>Die erste Reaktion erfordert keine speziellen Situationselemente. So kann man praktisch in belieb</w:t>
      </w:r>
      <w:r w:rsidRPr="004F3533">
        <w:rPr>
          <w:sz w:val="20"/>
          <w:szCs w:val="20"/>
        </w:rPr>
        <w:t>i</w:t>
      </w:r>
      <w:r w:rsidRPr="004F3533">
        <w:rPr>
          <w:sz w:val="20"/>
          <w:szCs w:val="20"/>
        </w:rPr>
        <w:t>gen Situationen reagieren, man braucht auch keine Zuhörer: man kann einfach vor sich hinschimpfen. Die zweite Reaktion hingegen ist nur möglich, wenn eine weitere Person anwesend ist, an die die Aufforderung gerichtet wird. Die erste Reaktion ist also nicht primär sozial und nicht kommunikativ - auch wenn sie in den meisten Fällen Au</w:t>
      </w:r>
      <w:r w:rsidRPr="004F3533">
        <w:rPr>
          <w:sz w:val="20"/>
          <w:szCs w:val="20"/>
        </w:rPr>
        <w:t>s</w:t>
      </w:r>
      <w:r w:rsidRPr="004F3533">
        <w:rPr>
          <w:sz w:val="20"/>
          <w:szCs w:val="20"/>
        </w:rPr>
        <w:t>wirkungen auf die soziale Umwelt hat, weil gewöhnlich eben doch jemand das Schimpfen hört und auch darauf reagiert. Die zweite Reaktion aber ist im stre</w:t>
      </w:r>
      <w:r w:rsidRPr="004F3533">
        <w:rPr>
          <w:sz w:val="20"/>
          <w:szCs w:val="20"/>
        </w:rPr>
        <w:t>n</w:t>
      </w:r>
      <w:r w:rsidRPr="004F3533">
        <w:rPr>
          <w:sz w:val="20"/>
          <w:szCs w:val="20"/>
        </w:rPr>
        <w:t>gen Sinne sozial, sie erfordert mindestens einen Gesprächspartner, und sie will dessen Verhalten beeinflussen.</w:t>
      </w:r>
      <w:r w:rsidR="00136B8C" w:rsidRPr="004F3533">
        <w:rPr>
          <w:sz w:val="20"/>
          <w:szCs w:val="20"/>
        </w:rPr>
        <w:t>“</w:t>
      </w:r>
    </w:p>
    <w:p w14:paraId="4BCE0119" w14:textId="35C0B7B1" w:rsidR="00136B8C" w:rsidRPr="004F3533" w:rsidRDefault="00136B8C" w:rsidP="004F3533">
      <w:pPr>
        <w:spacing w:before="60" w:after="60"/>
        <w:jc w:val="both"/>
        <w:rPr>
          <w:sz w:val="20"/>
          <w:szCs w:val="20"/>
        </w:rPr>
      </w:pPr>
      <w:r w:rsidRPr="004F3533">
        <w:rPr>
          <w:sz w:val="20"/>
          <w:szCs w:val="20"/>
        </w:rPr>
        <w:t xml:space="preserve">Die beiden Beispiele lassen sich unterschiedlichen Sprechakttypen zuordnen: Das erste Beispiel ist ein sprecherbezogener, das zweite Beispiel ein partnerbezogener Sprechakt. </w:t>
      </w:r>
    </w:p>
    <w:p w14:paraId="3D53CB68" w14:textId="29B6CA9E" w:rsidR="00136B8C" w:rsidRPr="004F3533" w:rsidRDefault="00136B8C" w:rsidP="004F3533">
      <w:pPr>
        <w:spacing w:before="120" w:after="0"/>
        <w:jc w:val="both"/>
        <w:rPr>
          <w:sz w:val="20"/>
          <w:szCs w:val="20"/>
        </w:rPr>
      </w:pPr>
      <w:r w:rsidRPr="004F3533">
        <w:rPr>
          <w:b/>
          <w:bCs/>
          <w:sz w:val="20"/>
          <w:szCs w:val="20"/>
        </w:rPr>
        <w:t>Sprecherbezogene Sprechakte</w:t>
      </w:r>
      <w:r w:rsidRPr="004F3533">
        <w:rPr>
          <w:sz w:val="20"/>
          <w:szCs w:val="20"/>
        </w:rPr>
        <w:t xml:space="preserve"> gibt es vergleichsweise wenige. Schimpfen oder Sprechakte, mit denen man Überraschung, Staunen oder Resignation ausdrückt, gehören beispielweise dazu.</w:t>
      </w:r>
    </w:p>
    <w:p w14:paraId="4E95963D" w14:textId="7D7A2819" w:rsidR="00E0751E" w:rsidRPr="004F3533" w:rsidRDefault="00E0751E" w:rsidP="00E0751E">
      <w:pPr>
        <w:spacing w:after="0"/>
        <w:jc w:val="both"/>
        <w:rPr>
          <w:sz w:val="20"/>
          <w:szCs w:val="20"/>
        </w:rPr>
      </w:pPr>
      <w:r w:rsidRPr="004F3533">
        <w:rPr>
          <w:b/>
          <w:sz w:val="20"/>
          <w:szCs w:val="20"/>
        </w:rPr>
        <w:t xml:space="preserve">Partnerbezogene Sprechakte </w:t>
      </w:r>
      <w:r w:rsidR="00136B8C" w:rsidRPr="004F3533">
        <w:rPr>
          <w:sz w:val="20"/>
          <w:szCs w:val="20"/>
        </w:rPr>
        <w:t>gliedert man danach, „</w:t>
      </w:r>
      <w:r w:rsidRPr="004F3533">
        <w:rPr>
          <w:sz w:val="20"/>
          <w:szCs w:val="20"/>
        </w:rPr>
        <w:t>was bei den Gesprächsb</w:t>
      </w:r>
      <w:r w:rsidRPr="004F3533">
        <w:rPr>
          <w:sz w:val="20"/>
          <w:szCs w:val="20"/>
        </w:rPr>
        <w:t>e</w:t>
      </w:r>
      <w:r w:rsidRPr="004F3533">
        <w:rPr>
          <w:sz w:val="20"/>
          <w:szCs w:val="20"/>
        </w:rPr>
        <w:t>teiligten beeinflusst werden soll: das gespeicherte Wissen (dem Partner soll eine b</w:t>
      </w:r>
      <w:r w:rsidRPr="004F3533">
        <w:rPr>
          <w:sz w:val="20"/>
          <w:szCs w:val="20"/>
        </w:rPr>
        <w:t>e</w:t>
      </w:r>
      <w:r w:rsidRPr="004F3533">
        <w:rPr>
          <w:sz w:val="20"/>
          <w:szCs w:val="20"/>
        </w:rPr>
        <w:t>stimmte Information übe</w:t>
      </w:r>
      <w:r w:rsidRPr="004F3533">
        <w:rPr>
          <w:sz w:val="20"/>
          <w:szCs w:val="20"/>
        </w:rPr>
        <w:t>r</w:t>
      </w:r>
      <w:r w:rsidRPr="004F3533">
        <w:rPr>
          <w:sz w:val="20"/>
          <w:szCs w:val="20"/>
        </w:rPr>
        <w:t>mittelt werden), das Verhalten (jemand soll dazu gebracht werden, etwas Bestimmtes zu tun oder zu unterlassen) oder die Beziehung zwischen den Gesprächspartnern.</w:t>
      </w:r>
      <w:r w:rsidR="00136B8C" w:rsidRPr="004F3533">
        <w:rPr>
          <w:sz w:val="20"/>
          <w:szCs w:val="20"/>
        </w:rPr>
        <w:t>“ (Engel ebd.)</w:t>
      </w:r>
    </w:p>
    <w:p w14:paraId="5BB19147" w14:textId="24B449C9" w:rsidR="00E0751E" w:rsidRPr="004F3533" w:rsidRDefault="00136B8C" w:rsidP="00E0751E">
      <w:pPr>
        <w:spacing w:after="0"/>
        <w:jc w:val="both"/>
        <w:rPr>
          <w:sz w:val="20"/>
          <w:szCs w:val="20"/>
        </w:rPr>
      </w:pPr>
      <w:r w:rsidRPr="004F3533">
        <w:rPr>
          <w:sz w:val="20"/>
          <w:szCs w:val="20"/>
        </w:rPr>
        <w:t>Es gibt in dieser Gruppe Sprechakte, die vor allem Informationen vermitteln sollen</w:t>
      </w:r>
      <w:r w:rsidR="004F3533">
        <w:rPr>
          <w:sz w:val="20"/>
          <w:szCs w:val="20"/>
        </w:rPr>
        <w:t xml:space="preserve"> und</w:t>
      </w:r>
      <w:r w:rsidRPr="004F3533">
        <w:rPr>
          <w:sz w:val="20"/>
          <w:szCs w:val="20"/>
        </w:rPr>
        <w:t xml:space="preserve"> </w:t>
      </w:r>
      <w:r w:rsidRPr="004F3533">
        <w:rPr>
          <w:b/>
          <w:bCs/>
          <w:sz w:val="20"/>
          <w:szCs w:val="20"/>
        </w:rPr>
        <w:t xml:space="preserve">Mitteilungsakte </w:t>
      </w:r>
      <w:r w:rsidRPr="004F3533">
        <w:rPr>
          <w:sz w:val="20"/>
          <w:szCs w:val="20"/>
        </w:rPr>
        <w:t>genannt werden können.</w:t>
      </w:r>
      <w:r w:rsidR="004F3533">
        <w:rPr>
          <w:sz w:val="20"/>
          <w:szCs w:val="20"/>
        </w:rPr>
        <w:t xml:space="preserve"> </w:t>
      </w:r>
      <w:r w:rsidRPr="004F3533">
        <w:rPr>
          <w:sz w:val="20"/>
          <w:szCs w:val="20"/>
        </w:rPr>
        <w:t xml:space="preserve">Zu solchen Sprechakten </w:t>
      </w:r>
      <w:r w:rsidR="00E0751E" w:rsidRPr="004F3533">
        <w:rPr>
          <w:sz w:val="20"/>
          <w:szCs w:val="20"/>
        </w:rPr>
        <w:t>die Zusti</w:t>
      </w:r>
      <w:r w:rsidR="00E0751E" w:rsidRPr="004F3533">
        <w:rPr>
          <w:sz w:val="20"/>
          <w:szCs w:val="20"/>
        </w:rPr>
        <w:t>m</w:t>
      </w:r>
      <w:r w:rsidR="00E0751E" w:rsidRPr="004F3533">
        <w:rPr>
          <w:sz w:val="20"/>
          <w:szCs w:val="20"/>
        </w:rPr>
        <w:t xml:space="preserve">mung, </w:t>
      </w:r>
      <w:r w:rsidRPr="004F3533">
        <w:rPr>
          <w:sz w:val="20"/>
          <w:szCs w:val="20"/>
        </w:rPr>
        <w:t>die</w:t>
      </w:r>
      <w:r w:rsidR="00E0751E" w:rsidRPr="004F3533">
        <w:rPr>
          <w:sz w:val="20"/>
          <w:szCs w:val="20"/>
        </w:rPr>
        <w:t xml:space="preserve"> Ablehnung, </w:t>
      </w:r>
      <w:r w:rsidRPr="004F3533">
        <w:rPr>
          <w:sz w:val="20"/>
          <w:szCs w:val="20"/>
        </w:rPr>
        <w:t xml:space="preserve">die </w:t>
      </w:r>
      <w:r w:rsidR="00E0751E" w:rsidRPr="004F3533">
        <w:rPr>
          <w:sz w:val="20"/>
          <w:szCs w:val="20"/>
        </w:rPr>
        <w:t xml:space="preserve">Intensivierung, </w:t>
      </w:r>
      <w:r w:rsidRPr="004F3533">
        <w:rPr>
          <w:sz w:val="20"/>
          <w:szCs w:val="20"/>
        </w:rPr>
        <w:t xml:space="preserve">die </w:t>
      </w:r>
      <w:r w:rsidR="00E0751E" w:rsidRPr="004F3533">
        <w:rPr>
          <w:sz w:val="20"/>
          <w:szCs w:val="20"/>
        </w:rPr>
        <w:t xml:space="preserve">Generalisierung, </w:t>
      </w:r>
      <w:r w:rsidRPr="004F3533">
        <w:rPr>
          <w:sz w:val="20"/>
          <w:szCs w:val="20"/>
        </w:rPr>
        <w:t xml:space="preserve">die </w:t>
      </w:r>
      <w:r w:rsidR="00E0751E" w:rsidRPr="004F3533">
        <w:rPr>
          <w:sz w:val="20"/>
          <w:szCs w:val="20"/>
        </w:rPr>
        <w:t xml:space="preserve">Kommentierung, </w:t>
      </w:r>
      <w:r w:rsidRPr="004F3533">
        <w:rPr>
          <w:sz w:val="20"/>
          <w:szCs w:val="20"/>
        </w:rPr>
        <w:t xml:space="preserve">die </w:t>
      </w:r>
      <w:r w:rsidR="00E0751E" w:rsidRPr="004F3533">
        <w:rPr>
          <w:sz w:val="20"/>
          <w:szCs w:val="20"/>
        </w:rPr>
        <w:t>Einschrä</w:t>
      </w:r>
      <w:r w:rsidR="00E0751E" w:rsidRPr="004F3533">
        <w:rPr>
          <w:sz w:val="20"/>
          <w:szCs w:val="20"/>
        </w:rPr>
        <w:t>n</w:t>
      </w:r>
      <w:r w:rsidR="00E0751E" w:rsidRPr="004F3533">
        <w:rPr>
          <w:sz w:val="20"/>
          <w:szCs w:val="20"/>
        </w:rPr>
        <w:t xml:space="preserve">kung, </w:t>
      </w:r>
      <w:r w:rsidRPr="004F3533">
        <w:rPr>
          <w:sz w:val="20"/>
          <w:szCs w:val="20"/>
        </w:rPr>
        <w:t xml:space="preserve">die </w:t>
      </w:r>
      <w:r w:rsidR="00E0751E" w:rsidRPr="004F3533">
        <w:rPr>
          <w:sz w:val="20"/>
          <w:szCs w:val="20"/>
        </w:rPr>
        <w:t xml:space="preserve">Paraphrase und </w:t>
      </w:r>
      <w:r w:rsidRPr="004F3533">
        <w:rPr>
          <w:sz w:val="20"/>
          <w:szCs w:val="20"/>
        </w:rPr>
        <w:t xml:space="preserve">das </w:t>
      </w:r>
      <w:r w:rsidR="00E0751E" w:rsidRPr="004F3533">
        <w:rPr>
          <w:sz w:val="20"/>
          <w:szCs w:val="20"/>
        </w:rPr>
        <w:t>Kontakts</w:t>
      </w:r>
      <w:r w:rsidR="00E0751E" w:rsidRPr="004F3533">
        <w:rPr>
          <w:sz w:val="20"/>
          <w:szCs w:val="20"/>
        </w:rPr>
        <w:t>i</w:t>
      </w:r>
      <w:r w:rsidR="00E0751E" w:rsidRPr="004F3533">
        <w:rPr>
          <w:sz w:val="20"/>
          <w:szCs w:val="20"/>
        </w:rPr>
        <w:t xml:space="preserve">gnal. </w:t>
      </w:r>
    </w:p>
    <w:p w14:paraId="461F38F1" w14:textId="47115FA8" w:rsidR="00E0751E" w:rsidRPr="004F3533" w:rsidRDefault="00136B8C" w:rsidP="00E0751E">
      <w:pPr>
        <w:spacing w:after="0"/>
        <w:jc w:val="both"/>
        <w:rPr>
          <w:sz w:val="20"/>
          <w:szCs w:val="20"/>
        </w:rPr>
      </w:pPr>
      <w:r w:rsidRPr="004F3533">
        <w:rPr>
          <w:sz w:val="20"/>
          <w:szCs w:val="20"/>
        </w:rPr>
        <w:t xml:space="preserve">Andere Sprechakte stehen vor allem im Dienst, die </w:t>
      </w:r>
      <w:r w:rsidR="00E0751E" w:rsidRPr="004F3533">
        <w:rPr>
          <w:sz w:val="20"/>
          <w:szCs w:val="20"/>
        </w:rPr>
        <w:t>Beziehungen der Gesprächspartner zueinander</w:t>
      </w:r>
      <w:r w:rsidRPr="004F3533">
        <w:rPr>
          <w:sz w:val="20"/>
          <w:szCs w:val="20"/>
        </w:rPr>
        <w:t>,</w:t>
      </w:r>
      <w:r w:rsidR="00E0751E" w:rsidRPr="004F3533">
        <w:rPr>
          <w:sz w:val="20"/>
          <w:szCs w:val="20"/>
        </w:rPr>
        <w:t xml:space="preserve"> soziale Störungen, auftretende Spannungen </w:t>
      </w:r>
      <w:r w:rsidRPr="004F3533">
        <w:rPr>
          <w:bCs/>
          <w:sz w:val="20"/>
          <w:szCs w:val="20"/>
        </w:rPr>
        <w:t xml:space="preserve">auszugleichen. Zu diesen </w:t>
      </w:r>
      <w:r w:rsidRPr="004F3533">
        <w:rPr>
          <w:b/>
          <w:sz w:val="20"/>
          <w:szCs w:val="20"/>
        </w:rPr>
        <w:t>Ausgleichsakten</w:t>
      </w:r>
      <w:r w:rsidRPr="004F3533">
        <w:rPr>
          <w:bCs/>
          <w:sz w:val="20"/>
          <w:szCs w:val="20"/>
        </w:rPr>
        <w:t xml:space="preserve"> gehören</w:t>
      </w:r>
      <w:r w:rsidR="00E0751E" w:rsidRPr="004F3533">
        <w:rPr>
          <w:sz w:val="20"/>
          <w:szCs w:val="20"/>
        </w:rPr>
        <w:t>: Dank, Entschuldigung, Aufh</w:t>
      </w:r>
      <w:r w:rsidR="00E0751E" w:rsidRPr="004F3533">
        <w:rPr>
          <w:sz w:val="20"/>
          <w:szCs w:val="20"/>
        </w:rPr>
        <w:t>e</w:t>
      </w:r>
      <w:r w:rsidR="00E0751E" w:rsidRPr="004F3533">
        <w:rPr>
          <w:sz w:val="20"/>
          <w:szCs w:val="20"/>
        </w:rPr>
        <w:t xml:space="preserve">bung, Billigung, Gratulation, Kondolation. </w:t>
      </w:r>
    </w:p>
    <w:p w14:paraId="36D861D3" w14:textId="294C16DE" w:rsidR="00E0751E" w:rsidRPr="004F3533" w:rsidRDefault="00136B8C" w:rsidP="00E0751E">
      <w:pPr>
        <w:spacing w:after="0"/>
        <w:jc w:val="both"/>
        <w:rPr>
          <w:sz w:val="20"/>
          <w:szCs w:val="20"/>
        </w:rPr>
      </w:pPr>
      <w:r w:rsidRPr="004F3533">
        <w:rPr>
          <w:b/>
          <w:bCs/>
          <w:sz w:val="20"/>
          <w:szCs w:val="20"/>
        </w:rPr>
        <w:t>Sprechakte</w:t>
      </w:r>
      <w:r w:rsidRPr="004F3533">
        <w:rPr>
          <w:b/>
          <w:bCs/>
          <w:sz w:val="20"/>
          <w:szCs w:val="20"/>
        </w:rPr>
        <w:t>, die</w:t>
      </w:r>
      <w:r w:rsidR="00E0751E" w:rsidRPr="004F3533">
        <w:rPr>
          <w:b/>
          <w:bCs/>
          <w:sz w:val="20"/>
          <w:szCs w:val="20"/>
        </w:rPr>
        <w:t xml:space="preserve"> </w:t>
      </w:r>
      <w:r w:rsidRPr="004F3533">
        <w:rPr>
          <w:b/>
          <w:bCs/>
          <w:sz w:val="20"/>
          <w:szCs w:val="20"/>
        </w:rPr>
        <w:t>hauptsächlich</w:t>
      </w:r>
      <w:r w:rsidR="00E0751E" w:rsidRPr="004F3533">
        <w:rPr>
          <w:b/>
          <w:bCs/>
          <w:sz w:val="20"/>
          <w:szCs w:val="20"/>
        </w:rPr>
        <w:t xml:space="preserve"> auf das Verhalten abzielen</w:t>
      </w:r>
      <w:r w:rsidRPr="004F3533">
        <w:rPr>
          <w:sz w:val="20"/>
          <w:szCs w:val="20"/>
        </w:rPr>
        <w:t>,</w:t>
      </w:r>
      <w:r w:rsidR="00E0751E" w:rsidRPr="004F3533">
        <w:rPr>
          <w:sz w:val="20"/>
          <w:szCs w:val="20"/>
        </w:rPr>
        <w:t xml:space="preserve"> </w:t>
      </w:r>
      <w:r w:rsidRPr="004F3533">
        <w:rPr>
          <w:sz w:val="20"/>
          <w:szCs w:val="20"/>
        </w:rPr>
        <w:t>„</w:t>
      </w:r>
      <w:r w:rsidR="00E0751E" w:rsidRPr="004F3533">
        <w:rPr>
          <w:sz w:val="20"/>
          <w:szCs w:val="20"/>
        </w:rPr>
        <w:t>lassen sich besser danach gliedern, wem sie speziell gelten: dem Sprecher selbst, dem Partner, beiden zugleich oder Belieb</w:t>
      </w:r>
      <w:r w:rsidR="00E0751E" w:rsidRPr="004F3533">
        <w:rPr>
          <w:sz w:val="20"/>
          <w:szCs w:val="20"/>
        </w:rPr>
        <w:t>i</w:t>
      </w:r>
      <w:r w:rsidR="00E0751E" w:rsidRPr="004F3533">
        <w:rPr>
          <w:sz w:val="20"/>
          <w:szCs w:val="20"/>
        </w:rPr>
        <w:t>gen. Will der Sprecher sein eigenes Ve</w:t>
      </w:r>
      <w:r w:rsidR="00E0751E" w:rsidRPr="004F3533">
        <w:rPr>
          <w:sz w:val="20"/>
          <w:szCs w:val="20"/>
        </w:rPr>
        <w:t>r</w:t>
      </w:r>
      <w:r w:rsidR="00E0751E" w:rsidRPr="004F3533">
        <w:rPr>
          <w:sz w:val="20"/>
          <w:szCs w:val="20"/>
        </w:rPr>
        <w:t>halten festlegen, so gibt er ein Versprechen ab. Bei den Sprechakten, die auf das Partnerverhalten abzielen, steht die Aufforderung vo</w:t>
      </w:r>
      <w:r w:rsidR="00E0751E" w:rsidRPr="004F3533">
        <w:rPr>
          <w:sz w:val="20"/>
          <w:szCs w:val="20"/>
        </w:rPr>
        <w:t>r</w:t>
      </w:r>
      <w:r w:rsidR="00E0751E" w:rsidRPr="004F3533">
        <w:rPr>
          <w:sz w:val="20"/>
          <w:szCs w:val="20"/>
        </w:rPr>
        <w:t>nean. Alle außerdem hierher gehöre</w:t>
      </w:r>
      <w:r w:rsidR="00E0751E" w:rsidRPr="004F3533">
        <w:rPr>
          <w:sz w:val="20"/>
          <w:szCs w:val="20"/>
        </w:rPr>
        <w:t>n</w:t>
      </w:r>
      <w:r w:rsidR="00E0751E" w:rsidRPr="004F3533">
        <w:rPr>
          <w:sz w:val="20"/>
          <w:szCs w:val="20"/>
        </w:rPr>
        <w:t>den Sprechakte sind letztlich spezielle Formender Aufforderung: Autorisierung, Ratschlag, Vorwurf, Beschimpfen, Warnung, Frage (als Au</w:t>
      </w:r>
      <w:r w:rsidR="00E0751E" w:rsidRPr="004F3533">
        <w:rPr>
          <w:sz w:val="20"/>
          <w:szCs w:val="20"/>
        </w:rPr>
        <w:t>f</w:t>
      </w:r>
      <w:r w:rsidR="00E0751E" w:rsidRPr="004F3533">
        <w:rPr>
          <w:sz w:val="20"/>
          <w:szCs w:val="20"/>
        </w:rPr>
        <w:t>forderung zu verbalem Verha</w:t>
      </w:r>
      <w:r w:rsidR="00E0751E" w:rsidRPr="004F3533">
        <w:rPr>
          <w:sz w:val="20"/>
          <w:szCs w:val="20"/>
        </w:rPr>
        <w:t>l</w:t>
      </w:r>
      <w:r w:rsidR="00E0751E" w:rsidRPr="004F3533">
        <w:rPr>
          <w:sz w:val="20"/>
          <w:szCs w:val="20"/>
        </w:rPr>
        <w:t>ten</w:t>
      </w:r>
    </w:p>
    <w:p w14:paraId="3F8D777E" w14:textId="2C840646" w:rsidR="00E0751E" w:rsidRPr="004F3533" w:rsidRDefault="00E0751E" w:rsidP="004F3533">
      <w:pPr>
        <w:spacing w:after="0"/>
        <w:jc w:val="both"/>
        <w:rPr>
          <w:sz w:val="20"/>
          <w:szCs w:val="20"/>
        </w:rPr>
      </w:pPr>
      <w:r w:rsidRPr="004F3533">
        <w:rPr>
          <w:sz w:val="20"/>
          <w:szCs w:val="20"/>
        </w:rPr>
        <w:t>Das Verhalten von Sprecher und Partner zugleich soll festgelegt werden in den Sprecha</w:t>
      </w:r>
      <w:r w:rsidRPr="004F3533">
        <w:rPr>
          <w:sz w:val="20"/>
          <w:szCs w:val="20"/>
        </w:rPr>
        <w:t>k</w:t>
      </w:r>
      <w:r w:rsidRPr="004F3533">
        <w:rPr>
          <w:sz w:val="20"/>
          <w:szCs w:val="20"/>
        </w:rPr>
        <w:t>ten Angebot, Drohung sowie in Akten der Kontaktumgrenzung: Gruß, Anrede, Vorste</w:t>
      </w:r>
      <w:r w:rsidRPr="004F3533">
        <w:rPr>
          <w:sz w:val="20"/>
          <w:szCs w:val="20"/>
        </w:rPr>
        <w:t>l</w:t>
      </w:r>
      <w:r w:rsidRPr="004F3533">
        <w:rPr>
          <w:sz w:val="20"/>
          <w:szCs w:val="20"/>
        </w:rPr>
        <w:t>lung, Adresse und A</w:t>
      </w:r>
      <w:r w:rsidRPr="004F3533">
        <w:rPr>
          <w:sz w:val="20"/>
          <w:szCs w:val="20"/>
        </w:rPr>
        <w:t>b</w:t>
      </w:r>
      <w:r w:rsidRPr="004F3533">
        <w:rPr>
          <w:sz w:val="20"/>
          <w:szCs w:val="20"/>
        </w:rPr>
        <w:t>sender</w:t>
      </w:r>
      <w:proofErr w:type="gramStart"/>
      <w:r w:rsidRPr="004F3533">
        <w:rPr>
          <w:sz w:val="20"/>
          <w:szCs w:val="20"/>
        </w:rPr>
        <w:t xml:space="preserve">. </w:t>
      </w:r>
      <w:r w:rsidR="004F3533" w:rsidRPr="004F3533">
        <w:rPr>
          <w:sz w:val="20"/>
          <w:szCs w:val="20"/>
        </w:rPr>
        <w:t>.</w:t>
      </w:r>
      <w:proofErr w:type="gramEnd"/>
      <w:r w:rsidR="004F3533" w:rsidRPr="004F3533">
        <w:rPr>
          <w:sz w:val="20"/>
          <w:szCs w:val="20"/>
        </w:rPr>
        <w:t xml:space="preserve"> </w:t>
      </w:r>
      <w:r w:rsidRPr="004F3533">
        <w:rPr>
          <w:sz w:val="20"/>
          <w:szCs w:val="20"/>
        </w:rPr>
        <w:t xml:space="preserve">Um das </w:t>
      </w:r>
      <w:r w:rsidRPr="004F3533">
        <w:rPr>
          <w:b/>
          <w:sz w:val="20"/>
          <w:szCs w:val="20"/>
        </w:rPr>
        <w:t>Verhalten</w:t>
      </w:r>
      <w:r w:rsidRPr="004F3533">
        <w:rPr>
          <w:sz w:val="20"/>
          <w:szCs w:val="20"/>
        </w:rPr>
        <w:t xml:space="preserve"> </w:t>
      </w:r>
      <w:r w:rsidRPr="004F3533">
        <w:rPr>
          <w:b/>
          <w:sz w:val="20"/>
          <w:szCs w:val="20"/>
        </w:rPr>
        <w:t>beliebiger</w:t>
      </w:r>
      <w:r w:rsidRPr="004F3533">
        <w:rPr>
          <w:sz w:val="20"/>
          <w:szCs w:val="20"/>
        </w:rPr>
        <w:t xml:space="preserve"> </w:t>
      </w:r>
      <w:r w:rsidRPr="004F3533">
        <w:rPr>
          <w:b/>
          <w:sz w:val="20"/>
          <w:szCs w:val="20"/>
        </w:rPr>
        <w:t>Personen</w:t>
      </w:r>
      <w:r w:rsidRPr="004F3533">
        <w:rPr>
          <w:sz w:val="20"/>
          <w:szCs w:val="20"/>
        </w:rPr>
        <w:t>, häufig Dritter, geht es in den Sprechakten Wunsch, Vorschlag und A</w:t>
      </w:r>
      <w:r w:rsidRPr="004F3533">
        <w:rPr>
          <w:sz w:val="20"/>
          <w:szCs w:val="20"/>
        </w:rPr>
        <w:t>n</w:t>
      </w:r>
      <w:r w:rsidRPr="004F3533">
        <w:rPr>
          <w:sz w:val="20"/>
          <w:szCs w:val="20"/>
        </w:rPr>
        <w:t>kündigung."</w:t>
      </w:r>
      <w:r w:rsidR="004F3533" w:rsidRPr="004F3533">
        <w:rPr>
          <w:sz w:val="20"/>
          <w:szCs w:val="20"/>
        </w:rPr>
        <w:t xml:space="preserve"> </w:t>
      </w:r>
      <w:r w:rsidR="004F3533" w:rsidRPr="004F3533">
        <w:rPr>
          <w:sz w:val="20"/>
          <w:szCs w:val="20"/>
        </w:rPr>
        <w:t>(Engel ebd.)</w:t>
      </w:r>
    </w:p>
    <w:p w14:paraId="6A272F91" w14:textId="337F5ACB" w:rsidR="00E0751E" w:rsidRPr="004F3533" w:rsidRDefault="00E0751E" w:rsidP="004F3533">
      <w:pPr>
        <w:jc w:val="center"/>
        <w:rPr>
          <w:sz w:val="20"/>
          <w:szCs w:val="20"/>
        </w:rPr>
      </w:pPr>
      <w:r w:rsidRPr="004F3533">
        <w:rPr>
          <w:sz w:val="20"/>
          <w:szCs w:val="20"/>
        </w:rPr>
        <w:t>(</w:t>
      </w:r>
      <w:r w:rsidR="004F3533">
        <w:rPr>
          <w:sz w:val="20"/>
          <w:szCs w:val="20"/>
        </w:rPr>
        <w:t>Quelle</w:t>
      </w:r>
      <w:r w:rsidRPr="004F3533">
        <w:rPr>
          <w:sz w:val="20"/>
          <w:szCs w:val="20"/>
        </w:rPr>
        <w:t xml:space="preserve"> Ulrich Engel, Deutsche Grammatik, Heidelberg: Julius Groos Verlag 1988, S.35-36)</w:t>
      </w:r>
    </w:p>
    <w:p w14:paraId="13BDDEBC" w14:textId="77777777" w:rsidR="00E82D61" w:rsidRDefault="00E82D61" w:rsidP="00E82D61">
      <w:pPr>
        <w:spacing w:after="120" w:line="240" w:lineRule="auto"/>
      </w:pPr>
    </w:p>
    <w:sectPr w:rsidR="00E82D61" w:rsidSect="00F47C87">
      <w:headerReference w:type="default" r:id="rId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0006" w14:textId="77777777" w:rsidR="00667AE7" w:rsidRDefault="00667AE7" w:rsidP="0075228E">
      <w:pPr>
        <w:spacing w:after="0" w:line="240" w:lineRule="auto"/>
      </w:pPr>
      <w:r>
        <w:separator/>
      </w:r>
    </w:p>
  </w:endnote>
  <w:endnote w:type="continuationSeparator" w:id="0">
    <w:p w14:paraId="64FF95E2" w14:textId="77777777" w:rsidR="00667AE7" w:rsidRDefault="00667AE7"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AE55" w14:textId="77777777" w:rsidR="00667AE7" w:rsidRDefault="00667AE7" w:rsidP="0075228E">
      <w:pPr>
        <w:spacing w:after="0" w:line="240" w:lineRule="auto"/>
      </w:pPr>
      <w:r>
        <w:separator/>
      </w:r>
    </w:p>
  </w:footnote>
  <w:footnote w:type="continuationSeparator" w:id="0">
    <w:p w14:paraId="485F51D8" w14:textId="77777777" w:rsidR="00667AE7" w:rsidRDefault="00667AE7"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5"/>
  </w:num>
  <w:num w:numId="5">
    <w:abstractNumId w:val="6"/>
  </w:num>
  <w:num w:numId="6">
    <w:abstractNumId w:val="8"/>
  </w:num>
  <w:num w:numId="7">
    <w:abstractNumId w:val="1"/>
  </w:num>
  <w:num w:numId="8">
    <w:abstractNumId w:val="10"/>
  </w:num>
  <w:num w:numId="9">
    <w:abstractNumId w:val="7"/>
  </w:num>
  <w:num w:numId="10">
    <w:abstractNumId w:val="5"/>
  </w:num>
  <w:num w:numId="11">
    <w:abstractNumId w:val="13"/>
  </w:num>
  <w:num w:numId="12">
    <w:abstractNumId w:val="9"/>
  </w:num>
  <w:num w:numId="13">
    <w:abstractNumId w:val="17"/>
  </w:num>
  <w:num w:numId="14">
    <w:abstractNumId w:val="4"/>
  </w:num>
  <w:num w:numId="15">
    <w:abstractNumId w:val="2"/>
  </w:num>
  <w:num w:numId="16">
    <w:abstractNumId w:val="3"/>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1164D0"/>
    <w:rsid w:val="001240D4"/>
    <w:rsid w:val="001273EC"/>
    <w:rsid w:val="001312DB"/>
    <w:rsid w:val="00136B8C"/>
    <w:rsid w:val="00210E49"/>
    <w:rsid w:val="00235685"/>
    <w:rsid w:val="00264444"/>
    <w:rsid w:val="00314B2C"/>
    <w:rsid w:val="003430E9"/>
    <w:rsid w:val="003D2C3A"/>
    <w:rsid w:val="004627AF"/>
    <w:rsid w:val="004C54D0"/>
    <w:rsid w:val="004D719F"/>
    <w:rsid w:val="004F3533"/>
    <w:rsid w:val="00555E48"/>
    <w:rsid w:val="00594BA0"/>
    <w:rsid w:val="005A1B75"/>
    <w:rsid w:val="005C65AC"/>
    <w:rsid w:val="005D404A"/>
    <w:rsid w:val="00667AE7"/>
    <w:rsid w:val="006C5F8A"/>
    <w:rsid w:val="006E38D6"/>
    <w:rsid w:val="006E733C"/>
    <w:rsid w:val="007008E0"/>
    <w:rsid w:val="00701E7A"/>
    <w:rsid w:val="0075228E"/>
    <w:rsid w:val="007E22D6"/>
    <w:rsid w:val="007E75E5"/>
    <w:rsid w:val="00840F45"/>
    <w:rsid w:val="00842472"/>
    <w:rsid w:val="00862D64"/>
    <w:rsid w:val="00871506"/>
    <w:rsid w:val="008E5C89"/>
    <w:rsid w:val="009328BC"/>
    <w:rsid w:val="0098377E"/>
    <w:rsid w:val="0098487F"/>
    <w:rsid w:val="00A36996"/>
    <w:rsid w:val="00A604F3"/>
    <w:rsid w:val="00B07AF9"/>
    <w:rsid w:val="00B3443B"/>
    <w:rsid w:val="00B45206"/>
    <w:rsid w:val="00B53DBF"/>
    <w:rsid w:val="00BF1151"/>
    <w:rsid w:val="00BF50D2"/>
    <w:rsid w:val="00C20AF1"/>
    <w:rsid w:val="00C87484"/>
    <w:rsid w:val="00CE5080"/>
    <w:rsid w:val="00D0669A"/>
    <w:rsid w:val="00D26909"/>
    <w:rsid w:val="00D5631A"/>
    <w:rsid w:val="00DC5D2A"/>
    <w:rsid w:val="00DC7038"/>
    <w:rsid w:val="00E0751E"/>
    <w:rsid w:val="00E305BF"/>
    <w:rsid w:val="00E43B0D"/>
    <w:rsid w:val="00E54461"/>
    <w:rsid w:val="00E74BF8"/>
    <w:rsid w:val="00E82D61"/>
    <w:rsid w:val="00ED5F06"/>
    <w:rsid w:val="00EE3E86"/>
    <w:rsid w:val="00EF4606"/>
    <w:rsid w:val="00F04FF1"/>
    <w:rsid w:val="00F258F6"/>
    <w:rsid w:val="00F32F11"/>
    <w:rsid w:val="00F4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2021-05-12T08:18:00Z</cp:lastPrinted>
  <dcterms:created xsi:type="dcterms:W3CDTF">2021-05-12T08:42:00Z</dcterms:created>
  <dcterms:modified xsi:type="dcterms:W3CDTF">2021-05-12T09:07:00Z</dcterms:modified>
</cp:coreProperties>
</file>