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67A" w14:textId="1DF19E01" w:rsidR="0067622E" w:rsidRPr="0067622E" w:rsidRDefault="001312DB" w:rsidP="00232A93">
      <w:pPr>
        <w:spacing w:after="12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 xml:space="preserve">Analyse der Szene </w:t>
      </w:r>
      <w:r w:rsidR="00DC1C9C">
        <w:rPr>
          <w:rFonts w:asciiTheme="majorHAnsi" w:hAnsiTheme="majorHAnsi"/>
          <w:bCs/>
          <w:color w:val="1F497D" w:themeColor="text2"/>
          <w:sz w:val="28"/>
          <w:szCs w:val="21"/>
        </w:rPr>
        <w:t>II,</w:t>
      </w:r>
      <w:r w:rsidR="00232A93">
        <w:rPr>
          <w:rFonts w:asciiTheme="majorHAnsi" w:hAnsiTheme="majorHAnsi"/>
          <w:bCs/>
          <w:color w:val="1F497D" w:themeColor="text2"/>
          <w:sz w:val="28"/>
          <w:szCs w:val="21"/>
        </w:rPr>
        <w:t>8</w:t>
      </w:r>
      <w:r w:rsidR="0067622E">
        <w:rPr>
          <w:rFonts w:asciiTheme="majorHAnsi" w:hAnsiTheme="majorHAnsi"/>
          <w:bCs/>
          <w:color w:val="1F497D" w:themeColor="text2"/>
          <w:sz w:val="28"/>
          <w:szCs w:val="21"/>
        </w:rPr>
        <w:t xml:space="preserve"> </w:t>
      </w:r>
      <w:r>
        <w:rPr>
          <w:rFonts w:asciiTheme="majorHAnsi" w:hAnsiTheme="majorHAnsi"/>
          <w:bCs/>
          <w:color w:val="1F497D" w:themeColor="text2"/>
          <w:sz w:val="28"/>
          <w:szCs w:val="21"/>
        </w:rPr>
        <w:t xml:space="preserve">in </w:t>
      </w:r>
      <w:r w:rsidR="003430E9" w:rsidRPr="003430E9">
        <w:rPr>
          <w:rFonts w:asciiTheme="majorHAnsi" w:hAnsiTheme="majorHAnsi"/>
          <w:bCs/>
          <w:color w:val="1F497D" w:themeColor="text2"/>
          <w:sz w:val="28"/>
          <w:szCs w:val="21"/>
        </w:rPr>
        <w:t xml:space="preserve"> Schillers Drama </w:t>
      </w:r>
      <w:r w:rsidR="003430E9" w:rsidRPr="003430E9">
        <w:rPr>
          <w:rFonts w:asciiTheme="majorHAnsi" w:hAnsiTheme="majorHAnsi"/>
          <w:bCs/>
          <w:i/>
          <w:iCs/>
          <w:color w:val="1F497D" w:themeColor="text2"/>
          <w:sz w:val="28"/>
          <w:szCs w:val="21"/>
        </w:rPr>
        <w:t>Maria Stuart</w:t>
      </w:r>
      <w:r w:rsidR="0067622E">
        <w:rPr>
          <w:rFonts w:asciiTheme="majorHAnsi" w:hAnsiTheme="majorHAnsi"/>
          <w:bCs/>
          <w:i/>
          <w:iCs/>
          <w:color w:val="1F497D" w:themeColor="text2"/>
          <w:sz w:val="28"/>
          <w:szCs w:val="21"/>
        </w:rPr>
        <w:br/>
      </w:r>
      <w:r w:rsidR="005D7831" w:rsidRPr="005D7831">
        <w:rPr>
          <w:rFonts w:asciiTheme="majorHAnsi" w:hAnsiTheme="majorHAnsi" w:cs="Arial"/>
          <w:b/>
          <w:bCs/>
          <w:color w:val="1F497D" w:themeColor="text2"/>
          <w:kern w:val="32"/>
          <w:sz w:val="32"/>
          <w:szCs w:val="36"/>
        </w:rPr>
        <w:t xml:space="preserve">Die </w:t>
      </w:r>
      <w:r w:rsidR="006C4D7A">
        <w:rPr>
          <w:rFonts w:asciiTheme="majorHAnsi" w:hAnsiTheme="majorHAnsi" w:cs="Arial"/>
          <w:b/>
          <w:bCs/>
          <w:color w:val="1F497D" w:themeColor="text2"/>
          <w:kern w:val="32"/>
          <w:sz w:val="32"/>
          <w:szCs w:val="36"/>
        </w:rPr>
        <w:t>Szene einordnen</w:t>
      </w:r>
    </w:p>
    <w:p w14:paraId="2B0E8DF7" w14:textId="675C2BDC" w:rsidR="00EE3641" w:rsidRPr="00EE3641" w:rsidRDefault="00EE3641" w:rsidP="00EE3641">
      <w:pPr>
        <w:spacing w:after="0"/>
        <w:jc w:val="both"/>
        <w:rPr>
          <w:rFonts w:asciiTheme="majorHAnsi" w:hAnsiTheme="majorHAnsi"/>
          <w:sz w:val="20"/>
          <w:szCs w:val="20"/>
        </w:rPr>
      </w:pPr>
      <w:r w:rsidRPr="00EE3641">
        <w:rPr>
          <w:rFonts w:asciiTheme="majorHAnsi" w:hAnsiTheme="majorHAnsi"/>
          <w:sz w:val="20"/>
          <w:szCs w:val="20"/>
        </w:rPr>
        <w:t>Bei der Einordnung der Dramenszene geht es u. a. darum, jene Elemente der gesamten Dramenhandlung zu erkennen, die für die ausgesuchte Szene relevant sind. Hier muss also eine echte Auswahlüberlegung erfolgen und müssen Entscheidungen gefällt werden.</w:t>
      </w:r>
    </w:p>
    <w:p w14:paraId="6868F8BF" w14:textId="074A3F54" w:rsidR="00EE3641" w:rsidRDefault="00EE3641" w:rsidP="00EE3641">
      <w:pPr>
        <w:spacing w:after="0"/>
        <w:jc w:val="both"/>
        <w:rPr>
          <w:rFonts w:asciiTheme="majorHAnsi" w:hAnsiTheme="majorHAnsi"/>
          <w:sz w:val="20"/>
          <w:szCs w:val="20"/>
        </w:rPr>
      </w:pPr>
      <w:r w:rsidRPr="00EE3641">
        <w:rPr>
          <w:rFonts w:asciiTheme="majorHAnsi" w:hAnsiTheme="majorHAnsi"/>
          <w:sz w:val="20"/>
          <w:szCs w:val="20"/>
        </w:rPr>
        <w:t>Die ausgewählten, relevanten Handlungselemente werden in der Regel ihrem zeitlichen Verlauf gemäß in Form einer knappen Inhaltsangabe wiedergegeben, die bis zu der Szene hinführt, die Gegenstand weiterer Untersuchungen sein soll.</w:t>
      </w:r>
    </w:p>
    <w:p w14:paraId="466C35AF" w14:textId="7E4EDEF7" w:rsidR="00EE3641" w:rsidRPr="00EE3641" w:rsidRDefault="00EE3641" w:rsidP="00EE3641">
      <w:pPr>
        <w:spacing w:after="240"/>
        <w:jc w:val="center"/>
        <w:rPr>
          <w:rFonts w:asciiTheme="majorHAnsi" w:hAnsiTheme="majorHAnsi"/>
          <w:sz w:val="20"/>
          <w:szCs w:val="20"/>
        </w:rPr>
      </w:pPr>
      <w:r w:rsidRPr="00EE3641">
        <w:rPr>
          <w:rFonts w:asciiTheme="majorHAnsi" w:hAnsiTheme="majorHAnsi"/>
          <w:sz w:val="20"/>
          <w:szCs w:val="20"/>
        </w:rPr>
        <w:drawing>
          <wp:inline distT="0" distB="0" distL="0" distR="0" wp14:anchorId="32CC9B53" wp14:editId="7A1E7877">
            <wp:extent cx="3251200" cy="1647274"/>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3992"/>
                    <a:stretch/>
                  </pic:blipFill>
                  <pic:spPr bwMode="auto">
                    <a:xfrm>
                      <a:off x="0" y="0"/>
                      <a:ext cx="3271716" cy="1657669"/>
                    </a:xfrm>
                    <a:prstGeom prst="rect">
                      <a:avLst/>
                    </a:prstGeom>
                    <a:ln>
                      <a:noFill/>
                    </a:ln>
                    <a:extLst>
                      <a:ext uri="{53640926-AAD7-44D8-BBD7-CCE9431645EC}">
                        <a14:shadowObscured xmlns:a14="http://schemas.microsoft.com/office/drawing/2010/main"/>
                      </a:ext>
                    </a:extLst>
                  </pic:spPr>
                </pic:pic>
              </a:graphicData>
            </a:graphic>
          </wp:inline>
        </w:drawing>
      </w:r>
    </w:p>
    <w:p w14:paraId="62E45296" w14:textId="1C1F6459" w:rsidR="005D7831" w:rsidRDefault="00EE3641" w:rsidP="00EE3641">
      <w:pPr>
        <w:spacing w:after="0"/>
        <w:jc w:val="both"/>
        <w:rPr>
          <w:rFonts w:asciiTheme="majorHAnsi" w:hAnsiTheme="majorHAnsi"/>
          <w:sz w:val="20"/>
          <w:szCs w:val="20"/>
        </w:rPr>
      </w:pPr>
      <w:r w:rsidRPr="00EE3641">
        <w:rPr>
          <w:rFonts w:asciiTheme="majorHAnsi" w:hAnsiTheme="majorHAnsi"/>
          <w:sz w:val="20"/>
          <w:szCs w:val="20"/>
        </w:rPr>
        <w:t xml:space="preserve">Ein Ausblick auf die Wirkungen und </w:t>
      </w:r>
      <w:proofErr w:type="gramStart"/>
      <w:r w:rsidRPr="00EE3641">
        <w:rPr>
          <w:rFonts w:asciiTheme="majorHAnsi" w:hAnsiTheme="majorHAnsi"/>
          <w:sz w:val="20"/>
          <w:szCs w:val="20"/>
        </w:rPr>
        <w:t>Folgen</w:t>
      </w:r>
      <w:proofErr w:type="gramEnd"/>
      <w:r w:rsidRPr="00EE3641">
        <w:rPr>
          <w:rFonts w:asciiTheme="majorHAnsi" w:hAnsiTheme="majorHAnsi"/>
          <w:sz w:val="20"/>
          <w:szCs w:val="20"/>
        </w:rPr>
        <w:t xml:space="preserve"> die für die weitere Dramenhandlung von der ausgesuchten Szene ausgehen, rundet die inhaltliche Einordnung der Szene in die Gesamthandlung des Dramas ab.</w:t>
      </w:r>
    </w:p>
    <w:p w14:paraId="7B597362" w14:textId="77777777" w:rsidR="00EE3641" w:rsidRDefault="00EE3641" w:rsidP="00EE3641">
      <w:pPr>
        <w:spacing w:after="0"/>
        <w:jc w:val="both"/>
        <w:rPr>
          <w:rFonts w:asciiTheme="majorHAnsi" w:hAnsiTheme="majorHAnsi"/>
          <w:sz w:val="20"/>
          <w:szCs w:val="20"/>
        </w:rPr>
      </w:pPr>
    </w:p>
    <w:p w14:paraId="17BAA872" w14:textId="7B51B719" w:rsidR="00EE3641" w:rsidRPr="00544150" w:rsidRDefault="00EE3641" w:rsidP="00EE3641">
      <w:pPr>
        <w:spacing w:after="240"/>
        <w:jc w:val="both"/>
        <w:rPr>
          <w:rFonts w:asciiTheme="majorHAnsi" w:hAnsiTheme="majorHAnsi"/>
          <w:sz w:val="20"/>
          <w:szCs w:val="20"/>
        </w:rPr>
      </w:pPr>
      <w:r w:rsidRPr="00EE3641">
        <w:rPr>
          <w:rFonts w:asciiTheme="majorHAnsi" w:hAnsiTheme="majorHAnsi"/>
          <w:sz w:val="20"/>
          <w:szCs w:val="20"/>
        </w:rPr>
        <w:t xml:space="preserve">Die </w:t>
      </w:r>
      <w:r w:rsidRPr="00EE3641">
        <w:rPr>
          <w:rFonts w:asciiTheme="majorHAnsi" w:hAnsiTheme="majorHAnsi"/>
          <w:b/>
          <w:bCs/>
          <w:sz w:val="20"/>
          <w:szCs w:val="20"/>
        </w:rPr>
        <w:t>Einordnung der Szene II,8 des 2. Aktes</w:t>
      </w:r>
      <w:r w:rsidRPr="00EE3641">
        <w:rPr>
          <w:rFonts w:asciiTheme="majorHAnsi" w:hAnsiTheme="majorHAnsi"/>
          <w:sz w:val="20"/>
          <w:szCs w:val="20"/>
        </w:rPr>
        <w:t xml:space="preserve"> in die Dramenhandlung von Schillers Drama »Maria Stuart« umfasst die inhaltliche und die funktionale Einordnung des Geschehens.</w:t>
      </w:r>
    </w:p>
    <w:p w14:paraId="5C14CA7C" w14:textId="42C4DE4F" w:rsidR="005D7831" w:rsidRPr="00544150" w:rsidRDefault="0054269D" w:rsidP="00A72CC4">
      <w:pPr>
        <w:spacing w:after="0"/>
        <w:jc w:val="center"/>
        <w:rPr>
          <w:rFonts w:cstheme="minorHAnsi"/>
          <w:lang w:val="en-US"/>
        </w:rPr>
      </w:pPr>
      <w:r>
        <w:rPr>
          <w:noProof/>
        </w:rPr>
        <w:object w:dxaOrig="17190" w:dyaOrig="7680" w14:anchorId="6668C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0pt;height:157pt;mso-width-percent:0;mso-height-percent:0;mso-width-percent:0;mso-height-percent:0" o:ole="">
            <v:imagedata r:id="rId9" o:title="" cropbottom="-2035f"/>
          </v:shape>
          <o:OLEObject Type="Embed" ProgID="Word.Picture.8" ShapeID="_x0000_i1025" DrawAspect="Content" ObjectID="_1682577991" r:id="rId10"/>
        </w:object>
      </w:r>
    </w:p>
    <w:p w14:paraId="24A8E186" w14:textId="77777777" w:rsidR="005D7831" w:rsidRPr="00544150" w:rsidRDefault="005D7831" w:rsidP="00A72CC4">
      <w:pPr>
        <w:spacing w:after="0"/>
        <w:jc w:val="both"/>
        <w:rPr>
          <w:rFonts w:asciiTheme="majorHAnsi" w:hAnsiTheme="majorHAnsi"/>
          <w:sz w:val="20"/>
          <w:szCs w:val="20"/>
        </w:rPr>
      </w:pPr>
      <w:r w:rsidRPr="00544150">
        <w:rPr>
          <w:rFonts w:asciiTheme="majorHAnsi" w:hAnsiTheme="majorHAnsi"/>
          <w:sz w:val="20"/>
          <w:szCs w:val="20"/>
        </w:rPr>
        <w:t>Dabei müssen folgende inhaltlichen Aspekte der Dramenhandlung berücksichtigt werden:</w:t>
      </w:r>
    </w:p>
    <w:p w14:paraId="7DE0896C" w14:textId="77777777" w:rsidR="005D7831" w:rsidRPr="00544150" w:rsidRDefault="005D7831" w:rsidP="00544150">
      <w:pPr>
        <w:numPr>
          <w:ilvl w:val="0"/>
          <w:numId w:val="29"/>
        </w:numPr>
        <w:spacing w:after="0" w:line="240" w:lineRule="auto"/>
        <w:jc w:val="both"/>
        <w:rPr>
          <w:rFonts w:asciiTheme="majorHAnsi" w:hAnsiTheme="majorHAnsi"/>
          <w:sz w:val="20"/>
          <w:szCs w:val="20"/>
        </w:rPr>
      </w:pPr>
      <w:r w:rsidRPr="00544150">
        <w:rPr>
          <w:rFonts w:asciiTheme="majorHAnsi" w:hAnsiTheme="majorHAnsi"/>
          <w:sz w:val="20"/>
          <w:szCs w:val="20"/>
        </w:rPr>
        <w:t>Bedeutung der Szene für die Haupthandlung um die Hinrichtung Maria Stuarts</w:t>
      </w:r>
    </w:p>
    <w:p w14:paraId="2A04F9D5" w14:textId="77777777" w:rsidR="005D7831" w:rsidRPr="00544150" w:rsidRDefault="005D7831" w:rsidP="00544150">
      <w:pPr>
        <w:numPr>
          <w:ilvl w:val="0"/>
          <w:numId w:val="29"/>
        </w:numPr>
        <w:spacing w:after="0" w:line="240" w:lineRule="auto"/>
        <w:jc w:val="both"/>
        <w:rPr>
          <w:rFonts w:asciiTheme="majorHAnsi" w:hAnsiTheme="majorHAnsi"/>
          <w:sz w:val="20"/>
          <w:szCs w:val="20"/>
        </w:rPr>
      </w:pPr>
      <w:r w:rsidRPr="00544150">
        <w:rPr>
          <w:rFonts w:asciiTheme="majorHAnsi" w:hAnsiTheme="majorHAnsi"/>
          <w:sz w:val="20"/>
          <w:szCs w:val="20"/>
        </w:rPr>
        <w:t>Bedeutung der Szene für die Mortimer-Handlung</w:t>
      </w:r>
    </w:p>
    <w:p w14:paraId="1BF13520" w14:textId="77777777" w:rsidR="005D7831" w:rsidRPr="00544150" w:rsidRDefault="005D7831" w:rsidP="00544150">
      <w:pPr>
        <w:numPr>
          <w:ilvl w:val="0"/>
          <w:numId w:val="29"/>
        </w:numPr>
        <w:spacing w:after="0" w:line="240" w:lineRule="auto"/>
        <w:jc w:val="both"/>
        <w:rPr>
          <w:rFonts w:asciiTheme="majorHAnsi" w:hAnsiTheme="majorHAnsi"/>
          <w:sz w:val="20"/>
          <w:szCs w:val="20"/>
        </w:rPr>
      </w:pPr>
      <w:r w:rsidRPr="00544150">
        <w:rPr>
          <w:rFonts w:asciiTheme="majorHAnsi" w:hAnsiTheme="majorHAnsi"/>
          <w:sz w:val="20"/>
          <w:szCs w:val="20"/>
        </w:rPr>
        <w:t>Bedeutung der Szene für die Leicester-Handlung</w:t>
      </w:r>
    </w:p>
    <w:p w14:paraId="1B4A7A48" w14:textId="32BB4B0F" w:rsidR="005D7831" w:rsidRPr="00544150" w:rsidRDefault="00EE3641" w:rsidP="00A72CC4">
      <w:pPr>
        <w:spacing w:before="120" w:after="0"/>
        <w:jc w:val="both"/>
        <w:rPr>
          <w:rFonts w:asciiTheme="majorHAnsi" w:hAnsiTheme="majorHAnsi"/>
          <w:sz w:val="20"/>
          <w:szCs w:val="20"/>
        </w:rPr>
      </w:pPr>
      <w:r w:rsidRPr="00EE3641">
        <w:rPr>
          <w:rFonts w:asciiTheme="majorHAnsi" w:hAnsiTheme="majorHAnsi"/>
          <w:sz w:val="20"/>
          <w:szCs w:val="20"/>
        </w:rPr>
        <w:t xml:space="preserve">Die Leicester-Handlung und die Mortimer-Handlung stellen freilich im Drama Maria Stuart keine eigenständigen Handlungsstränge dar, sondern stehen stets in engem Bezug zur eigentlichen (Haupt-)Dramenhandlung. Daher müssen sie bei der schriftlichen Einordnung nicht unbedingt getrennt von der Gesamteinordnung abgehandelt werden. Wenn allerdings dazu ein Schwerpunkt auf der literarischen Charakteristik einer der beiden Figuren liegt, empfiehlt sich ein derartiges Verfahren auf der Grundlage einer textstrukturierenden Bearbeitungsstrategie nach dem Blockprinzip </w:t>
      </w:r>
      <w:proofErr w:type="gramStart"/>
      <w:r w:rsidRPr="00EE3641">
        <w:rPr>
          <w:rFonts w:asciiTheme="majorHAnsi" w:hAnsiTheme="majorHAnsi"/>
          <w:sz w:val="20"/>
          <w:szCs w:val="20"/>
        </w:rPr>
        <w:t>durchaus.</w:t>
      </w:r>
      <w:r w:rsidR="005D7831" w:rsidRPr="00544150">
        <w:rPr>
          <w:rFonts w:asciiTheme="majorHAnsi" w:hAnsiTheme="majorHAnsi"/>
          <w:sz w:val="20"/>
          <w:szCs w:val="20"/>
        </w:rPr>
        <w:t>.</w:t>
      </w:r>
      <w:proofErr w:type="gramEnd"/>
    </w:p>
    <w:p w14:paraId="079050E8" w14:textId="5C225992" w:rsidR="00544150" w:rsidRPr="00544150" w:rsidRDefault="00544150" w:rsidP="00EE3641">
      <w:pPr>
        <w:spacing w:before="120" w:after="120"/>
        <w:rPr>
          <w:rFonts w:cstheme="minorHAnsi"/>
          <w:sz w:val="20"/>
          <w:szCs w:val="20"/>
        </w:rPr>
      </w:pPr>
      <w:r w:rsidRPr="00544150">
        <w:rPr>
          <w:rFonts w:cstheme="minorHAnsi"/>
          <w:b/>
          <w:bCs/>
          <w:sz w:val="20"/>
          <w:szCs w:val="20"/>
        </w:rPr>
        <w:t>Arbeitsanregungen</w:t>
      </w:r>
      <w:r w:rsidRPr="00544150">
        <w:rPr>
          <w:rFonts w:cstheme="minorHAnsi"/>
          <w:sz w:val="20"/>
          <w:szCs w:val="20"/>
        </w:rPr>
        <w:t xml:space="preserve">: </w:t>
      </w:r>
    </w:p>
    <w:p w14:paraId="33654428" w14:textId="147DAA85" w:rsidR="00544150" w:rsidRPr="00A72CC4" w:rsidRDefault="00EE3641" w:rsidP="00EE3641">
      <w:pPr>
        <w:pStyle w:val="StandardWeb"/>
        <w:spacing w:before="0" w:beforeAutospacing="0" w:after="0" w:afterAutospacing="0"/>
        <w:ind w:left="66"/>
        <w:rPr>
          <w:rFonts w:asciiTheme="minorHAnsi" w:hAnsiTheme="minorHAnsi" w:cstheme="minorHAnsi"/>
          <w:sz w:val="20"/>
          <w:szCs w:val="20"/>
        </w:rPr>
      </w:pPr>
      <w:r>
        <w:rPr>
          <w:rFonts w:asciiTheme="minorHAnsi" w:hAnsiTheme="minorHAnsi" w:cstheme="minorHAnsi"/>
          <w:sz w:val="20"/>
          <w:szCs w:val="20"/>
        </w:rPr>
        <w:t>Ordnen Sie die Szene II,8 in die Dramenhandlung und die Komposition des Dramas ein.</w:t>
      </w:r>
    </w:p>
    <w:sectPr w:rsidR="00544150" w:rsidRPr="00A72CC4" w:rsidSect="005D7831">
      <w:headerReference w:type="default" r:id="rId11"/>
      <w:footerReference w:type="default" r:id="rId12"/>
      <w:headerReference w:type="first" r:id="rId13"/>
      <w:footerReference w:type="first" r:id="rId14"/>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D55E" w14:textId="77777777" w:rsidR="0054269D" w:rsidRDefault="0054269D" w:rsidP="0075228E">
      <w:pPr>
        <w:spacing w:after="0" w:line="240" w:lineRule="auto"/>
      </w:pPr>
      <w:r>
        <w:separator/>
      </w:r>
    </w:p>
  </w:endnote>
  <w:endnote w:type="continuationSeparator" w:id="0">
    <w:p w14:paraId="45168233" w14:textId="77777777" w:rsidR="0054269D" w:rsidRDefault="0054269D"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7C0FB" w14:textId="77777777" w:rsidR="0054269D" w:rsidRDefault="0054269D" w:rsidP="0075228E">
      <w:pPr>
        <w:spacing w:after="0" w:line="240" w:lineRule="auto"/>
      </w:pPr>
      <w:r>
        <w:separator/>
      </w:r>
    </w:p>
  </w:footnote>
  <w:footnote w:type="continuationSeparator" w:id="0">
    <w:p w14:paraId="642B6304" w14:textId="77777777" w:rsidR="0054269D" w:rsidRDefault="0054269D"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17216"/>
    <w:multiLevelType w:val="hybridMultilevel"/>
    <w:tmpl w:val="0F48BE62"/>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5"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ACC2A2E"/>
    <w:multiLevelType w:val="hybridMultilevel"/>
    <w:tmpl w:val="E5F8D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D0467"/>
    <w:multiLevelType w:val="hybridMultilevel"/>
    <w:tmpl w:val="2C1A68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2953506"/>
    <w:multiLevelType w:val="multilevel"/>
    <w:tmpl w:val="EAC6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0"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1"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9"/>
  </w:num>
  <w:num w:numId="4">
    <w:abstractNumId w:val="24"/>
  </w:num>
  <w:num w:numId="5">
    <w:abstractNumId w:val="9"/>
  </w:num>
  <w:num w:numId="6">
    <w:abstractNumId w:val="13"/>
  </w:num>
  <w:num w:numId="7">
    <w:abstractNumId w:val="1"/>
  </w:num>
  <w:num w:numId="8">
    <w:abstractNumId w:val="18"/>
  </w:num>
  <w:num w:numId="9">
    <w:abstractNumId w:val="10"/>
  </w:num>
  <w:num w:numId="10">
    <w:abstractNumId w:val="8"/>
  </w:num>
  <w:num w:numId="11">
    <w:abstractNumId w:val="21"/>
  </w:num>
  <w:num w:numId="12">
    <w:abstractNumId w:val="16"/>
  </w:num>
  <w:num w:numId="13">
    <w:abstractNumId w:val="28"/>
  </w:num>
  <w:num w:numId="14">
    <w:abstractNumId w:val="5"/>
  </w:num>
  <w:num w:numId="15">
    <w:abstractNumId w:val="3"/>
  </w:num>
  <w:num w:numId="16">
    <w:abstractNumId w:val="4"/>
  </w:num>
  <w:num w:numId="17">
    <w:abstractNumId w:val="0"/>
  </w:num>
  <w:num w:numId="18">
    <w:abstractNumId w:val="20"/>
  </w:num>
  <w:num w:numId="19">
    <w:abstractNumId w:val="19"/>
  </w:num>
  <w:num w:numId="20">
    <w:abstractNumId w:val="26"/>
  </w:num>
  <w:num w:numId="21">
    <w:abstractNumId w:val="27"/>
  </w:num>
  <w:num w:numId="22">
    <w:abstractNumId w:val="6"/>
  </w:num>
  <w:num w:numId="23">
    <w:abstractNumId w:val="23"/>
  </w:num>
  <w:num w:numId="24">
    <w:abstractNumId w:val="11"/>
  </w:num>
  <w:num w:numId="25">
    <w:abstractNumId w:val="14"/>
  </w:num>
  <w:num w:numId="26">
    <w:abstractNumId w:val="12"/>
  </w:num>
  <w:num w:numId="27">
    <w:abstractNumId w:val="15"/>
  </w:num>
  <w:num w:numId="28">
    <w:abstractNumId w:val="7"/>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45878"/>
    <w:rsid w:val="000819DB"/>
    <w:rsid w:val="000A48D8"/>
    <w:rsid w:val="001164D0"/>
    <w:rsid w:val="001240D4"/>
    <w:rsid w:val="001273EC"/>
    <w:rsid w:val="001312DB"/>
    <w:rsid w:val="00133035"/>
    <w:rsid w:val="00136B8C"/>
    <w:rsid w:val="001D1037"/>
    <w:rsid w:val="001D3422"/>
    <w:rsid w:val="00210E49"/>
    <w:rsid w:val="00232A93"/>
    <w:rsid w:val="00235685"/>
    <w:rsid w:val="00264444"/>
    <w:rsid w:val="002D1291"/>
    <w:rsid w:val="00314B2C"/>
    <w:rsid w:val="0034097E"/>
    <w:rsid w:val="003430E9"/>
    <w:rsid w:val="003D2C3A"/>
    <w:rsid w:val="00434394"/>
    <w:rsid w:val="004627AF"/>
    <w:rsid w:val="00465F5F"/>
    <w:rsid w:val="004C54D0"/>
    <w:rsid w:val="004D719F"/>
    <w:rsid w:val="004D7567"/>
    <w:rsid w:val="004F3533"/>
    <w:rsid w:val="00530BF6"/>
    <w:rsid w:val="0054269D"/>
    <w:rsid w:val="00544150"/>
    <w:rsid w:val="00555E48"/>
    <w:rsid w:val="00566BCB"/>
    <w:rsid w:val="00594BA0"/>
    <w:rsid w:val="005A1B75"/>
    <w:rsid w:val="005C65AC"/>
    <w:rsid w:val="005D404A"/>
    <w:rsid w:val="005D7831"/>
    <w:rsid w:val="006353BA"/>
    <w:rsid w:val="0067622E"/>
    <w:rsid w:val="00696364"/>
    <w:rsid w:val="006C4D7A"/>
    <w:rsid w:val="006C5F8A"/>
    <w:rsid w:val="006E38D6"/>
    <w:rsid w:val="006E733C"/>
    <w:rsid w:val="007008E0"/>
    <w:rsid w:val="00701E7A"/>
    <w:rsid w:val="0075228E"/>
    <w:rsid w:val="007A4BC2"/>
    <w:rsid w:val="007E22D6"/>
    <w:rsid w:val="007E75E5"/>
    <w:rsid w:val="00840F45"/>
    <w:rsid w:val="00842472"/>
    <w:rsid w:val="00862D64"/>
    <w:rsid w:val="00871506"/>
    <w:rsid w:val="008E5C89"/>
    <w:rsid w:val="009328BC"/>
    <w:rsid w:val="0098377E"/>
    <w:rsid w:val="0098487F"/>
    <w:rsid w:val="009D5B37"/>
    <w:rsid w:val="00A36996"/>
    <w:rsid w:val="00A604F3"/>
    <w:rsid w:val="00A72CC4"/>
    <w:rsid w:val="00B07AF9"/>
    <w:rsid w:val="00B3443B"/>
    <w:rsid w:val="00B44845"/>
    <w:rsid w:val="00B45206"/>
    <w:rsid w:val="00B53DBF"/>
    <w:rsid w:val="00B87CA8"/>
    <w:rsid w:val="00BB68CF"/>
    <w:rsid w:val="00BF1151"/>
    <w:rsid w:val="00BF50D2"/>
    <w:rsid w:val="00C15A1D"/>
    <w:rsid w:val="00C20AF1"/>
    <w:rsid w:val="00C62304"/>
    <w:rsid w:val="00C87484"/>
    <w:rsid w:val="00CE5080"/>
    <w:rsid w:val="00D0669A"/>
    <w:rsid w:val="00D26909"/>
    <w:rsid w:val="00D5631A"/>
    <w:rsid w:val="00DC1C9C"/>
    <w:rsid w:val="00DC5D2A"/>
    <w:rsid w:val="00DC7038"/>
    <w:rsid w:val="00E0751E"/>
    <w:rsid w:val="00E305BF"/>
    <w:rsid w:val="00E43B0D"/>
    <w:rsid w:val="00E54461"/>
    <w:rsid w:val="00E701B7"/>
    <w:rsid w:val="00E74BF8"/>
    <w:rsid w:val="00E82D61"/>
    <w:rsid w:val="00ED5F06"/>
    <w:rsid w:val="00EE3641"/>
    <w:rsid w:val="00EE367D"/>
    <w:rsid w:val="00EE3E86"/>
    <w:rsid w:val="00EF4606"/>
    <w:rsid w:val="00F04FF1"/>
    <w:rsid w:val="00F258F6"/>
    <w:rsid w:val="00F32F11"/>
    <w:rsid w:val="00F35C74"/>
    <w:rsid w:val="00F47C87"/>
    <w:rsid w:val="00F500AF"/>
    <w:rsid w:val="00F931C0"/>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2021-05-15T07:28:00Z</cp:lastPrinted>
  <dcterms:created xsi:type="dcterms:W3CDTF">2021-05-15T07:53:00Z</dcterms:created>
  <dcterms:modified xsi:type="dcterms:W3CDTF">2021-05-15T07:59:00Z</dcterms:modified>
</cp:coreProperties>
</file>