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1A19EC" w:rsidRDefault="001A19EC" w:rsidP="000D5E21">
      <w:pPr>
        <w:pStyle w:val="berschrift1"/>
        <w:spacing w:after="0"/>
        <w:rPr>
          <w:rFonts w:ascii="Cambria" w:hAnsi="Cambria"/>
          <w:color w:val="548DD4" w:themeColor="text2" w:themeTint="99"/>
          <w:sz w:val="32"/>
        </w:rPr>
      </w:pPr>
      <w:bookmarkStart w:id="0" w:name="_Toc30345940"/>
      <w:r w:rsidRPr="001A19EC">
        <w:rPr>
          <w:rFonts w:ascii="Cambria" w:hAnsi="Cambria"/>
          <w:color w:val="548DD4" w:themeColor="text2" w:themeTint="99"/>
          <w:sz w:val="32"/>
        </w:rPr>
        <w:t>Grundprinzipien partnerschaftlichen Argumentierens</w:t>
      </w:r>
    </w:p>
    <w:bookmarkEnd w:id="0"/>
    <w:p w:rsidR="0045146F" w:rsidRPr="001A19EC" w:rsidRDefault="001A19EC" w:rsidP="001A19EC">
      <w:pPr>
        <w:autoSpaceDE w:val="0"/>
        <w:autoSpaceDN w:val="0"/>
        <w:adjustRightInd w:val="0"/>
        <w:spacing w:before="240" w:after="0"/>
        <w:rPr>
          <w:rFonts w:asciiTheme="majorHAnsi" w:hAnsiTheme="majorHAnsi" w:cs="ArialMT"/>
          <w:szCs w:val="26"/>
        </w:rPr>
      </w:pPr>
      <w:r w:rsidRPr="001A19EC">
        <w:rPr>
          <w:rFonts w:asciiTheme="majorHAnsi" w:hAnsiTheme="majorHAnsi" w:cs="ArialMT"/>
          <w:szCs w:val="26"/>
        </w:rPr>
        <w:t xml:space="preserve">Die Partnerorientierung beim </w:t>
      </w:r>
      <w:r w:rsidR="00283D35" w:rsidRPr="00283D35">
        <w:rPr>
          <w:rFonts w:asciiTheme="majorHAnsi" w:hAnsiTheme="majorHAnsi" w:cs="ArialMT"/>
          <w:szCs w:val="26"/>
        </w:rPr>
        <w:t xml:space="preserve">Argumentieren </w:t>
      </w:r>
      <w:r w:rsidRPr="001A19EC">
        <w:rPr>
          <w:rFonts w:asciiTheme="majorHAnsi" w:hAnsiTheme="majorHAnsi" w:cs="ArialMT"/>
          <w:szCs w:val="26"/>
        </w:rPr>
        <w:t xml:space="preserve">kann an einem </w:t>
      </w:r>
      <w:r w:rsidRPr="001A19EC">
        <w:rPr>
          <w:rFonts w:asciiTheme="majorHAnsi" w:hAnsiTheme="majorHAnsi" w:cs="ArialMT"/>
          <w:b/>
          <w:bCs/>
          <w:szCs w:val="26"/>
        </w:rPr>
        <w:t>Konsensmodell</w:t>
      </w:r>
      <w:r w:rsidRPr="001A19EC">
        <w:rPr>
          <w:rFonts w:asciiTheme="majorHAnsi" w:hAnsiTheme="majorHAnsi" w:cs="ArialMT"/>
          <w:szCs w:val="26"/>
        </w:rPr>
        <w:t xml:space="preserve"> oder an einem </w:t>
      </w:r>
      <w:r w:rsidR="00283D35" w:rsidRPr="00283D35">
        <w:rPr>
          <w:rFonts w:asciiTheme="majorHAnsi" w:hAnsiTheme="majorHAnsi" w:cs="ArialMT"/>
          <w:b/>
          <w:szCs w:val="26"/>
        </w:rPr>
        <w:t>Sieg-Niederlage Modell</w:t>
      </w:r>
      <w:r w:rsidR="00283D35" w:rsidRPr="00283D35">
        <w:rPr>
          <w:rFonts w:asciiTheme="majorHAnsi" w:hAnsiTheme="majorHAnsi" w:cs="ArialMT"/>
          <w:szCs w:val="26"/>
        </w:rPr>
        <w:t xml:space="preserve"> </w:t>
      </w:r>
      <w:r w:rsidRPr="001A19EC">
        <w:rPr>
          <w:rFonts w:asciiTheme="majorHAnsi" w:hAnsiTheme="majorHAnsi" w:cs="ArialMT"/>
          <w:szCs w:val="26"/>
        </w:rPr>
        <w:t xml:space="preserve">orientiert sein. </w:t>
      </w:r>
    </w:p>
    <w:p w:rsidR="00CA7510" w:rsidRDefault="00C63866" w:rsidP="00C93FA1">
      <w:pPr>
        <w:spacing w:after="120"/>
        <w:jc w:val="center"/>
      </w:pPr>
      <w:r>
        <w:rPr>
          <w:rFonts w:ascii="Arial" w:hAnsi="Arial" w:cs="Arial"/>
          <w:noProof/>
          <w:sz w:val="20"/>
          <w:szCs w:val="20"/>
          <w:lang w:eastAsia="de-DE"/>
        </w:rPr>
        <w:t xml:space="preserve"> </w:t>
      </w:r>
      <w:r w:rsidR="001A19EC">
        <w:rPr>
          <w:rFonts w:ascii="Arial" w:hAnsi="Arial" w:cs="Arial"/>
          <w:noProof/>
          <w:sz w:val="20"/>
          <w:szCs w:val="20"/>
          <w:lang w:eastAsia="de-DE"/>
        </w:rPr>
        <w:drawing>
          <wp:inline distT="0" distB="0" distL="0" distR="0">
            <wp:extent cx="5019675" cy="5301615"/>
            <wp:effectExtent l="0" t="0" r="9525" b="0"/>
            <wp:docPr id="8" name="Grafik 8" descr="C:\teachsam\deutsch\d_rhetorik\argu\mmf\images\arg_partnerorientierung eg O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teachsam\deutsch\d_rhetorik\argu\mmf\images\arg_partnerorientierung eg O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5301615"/>
                    </a:xfrm>
                    <a:prstGeom prst="rect">
                      <a:avLst/>
                    </a:prstGeom>
                    <a:noFill/>
                    <a:ln>
                      <a:noFill/>
                    </a:ln>
                  </pic:spPr>
                </pic:pic>
              </a:graphicData>
            </a:graphic>
          </wp:inline>
        </w:drawing>
      </w:r>
    </w:p>
    <w:p w:rsidR="001A19EC" w:rsidRDefault="001A19EC" w:rsidP="001A19EC">
      <w:pPr>
        <w:autoSpaceDE w:val="0"/>
        <w:autoSpaceDN w:val="0"/>
        <w:adjustRightInd w:val="0"/>
        <w:spacing w:after="0"/>
        <w:rPr>
          <w:rFonts w:asciiTheme="majorHAnsi" w:hAnsiTheme="majorHAnsi" w:cs="ArialMT"/>
          <w:szCs w:val="26"/>
        </w:rPr>
      </w:pPr>
      <w:r w:rsidRPr="001A19EC">
        <w:rPr>
          <w:rFonts w:asciiTheme="majorHAnsi" w:hAnsiTheme="majorHAnsi" w:cs="ArialMT"/>
          <w:szCs w:val="26"/>
        </w:rPr>
        <w:t xml:space="preserve">Partnerschaftliches Argumentieren ist - aller Strittigkeit des Argumentationsthemas zum Trotz - prinzipiell am  Konsensmodell orientiert und geht von  folgenden </w:t>
      </w:r>
      <w:r w:rsidRPr="001A19EC">
        <w:rPr>
          <w:rFonts w:asciiTheme="majorHAnsi" w:hAnsiTheme="majorHAnsi" w:cs="ArialMT"/>
          <w:b/>
          <w:bCs/>
          <w:szCs w:val="26"/>
        </w:rPr>
        <w:t>partnerschaftlichen Prinzipien der Argumentation</w:t>
      </w:r>
      <w:r w:rsidRPr="001A19EC">
        <w:rPr>
          <w:rFonts w:asciiTheme="majorHAnsi" w:hAnsiTheme="majorHAnsi" w:cs="ArialMT"/>
          <w:szCs w:val="26"/>
        </w:rPr>
        <w:t xml:space="preserve"> aus:</w:t>
      </w:r>
    </w:p>
    <w:p w:rsidR="001A19EC" w:rsidRPr="001A19EC" w:rsidRDefault="001A19EC" w:rsidP="001A19EC">
      <w:pPr>
        <w:autoSpaceDE w:val="0"/>
        <w:autoSpaceDN w:val="0"/>
        <w:adjustRightInd w:val="0"/>
        <w:spacing w:after="0"/>
        <w:rPr>
          <w:rFonts w:asciiTheme="majorHAnsi" w:hAnsiTheme="majorHAnsi" w:cs="ArialMT"/>
          <w:szCs w:val="26"/>
        </w:rPr>
      </w:pPr>
    </w:p>
    <w:p w:rsidR="001A19EC" w:rsidRPr="001A19EC" w:rsidRDefault="001A19EC" w:rsidP="001A19EC">
      <w:pPr>
        <w:pStyle w:val="Listenabsatz"/>
        <w:numPr>
          <w:ilvl w:val="0"/>
          <w:numId w:val="11"/>
        </w:numPr>
        <w:autoSpaceDE w:val="0"/>
        <w:autoSpaceDN w:val="0"/>
        <w:adjustRightInd w:val="0"/>
        <w:spacing w:after="0"/>
        <w:rPr>
          <w:rFonts w:asciiTheme="majorHAnsi" w:hAnsiTheme="majorHAnsi" w:cs="ArialMT"/>
          <w:szCs w:val="26"/>
        </w:rPr>
      </w:pPr>
      <w:r w:rsidRPr="001A19EC">
        <w:rPr>
          <w:rFonts w:asciiTheme="majorHAnsi" w:hAnsiTheme="majorHAnsi" w:cs="ArialMT"/>
          <w:b/>
          <w:bCs/>
          <w:szCs w:val="26"/>
        </w:rPr>
        <w:t>Einverständnis</w:t>
      </w:r>
      <w:r w:rsidRPr="001A19EC">
        <w:rPr>
          <w:rFonts w:asciiTheme="majorHAnsi" w:hAnsiTheme="majorHAnsi" w:cs="ArialMT"/>
          <w:szCs w:val="26"/>
        </w:rPr>
        <w:t xml:space="preserve"> (Konsens) und </w:t>
      </w:r>
      <w:r w:rsidRPr="001A19EC">
        <w:rPr>
          <w:rFonts w:asciiTheme="majorHAnsi" w:hAnsiTheme="majorHAnsi" w:cs="ArialMT"/>
          <w:b/>
          <w:bCs/>
          <w:szCs w:val="26"/>
        </w:rPr>
        <w:t>Kompromiss</w:t>
      </w:r>
      <w:r w:rsidRPr="001A19EC">
        <w:rPr>
          <w:rFonts w:asciiTheme="majorHAnsi" w:hAnsiTheme="majorHAnsi" w:cs="ArialMT"/>
          <w:szCs w:val="26"/>
        </w:rPr>
        <w:t xml:space="preserve"> sind Idealziele des partnerschaftlichen Argumentierens. Allerdings kann eine partnerschaftlich geführte Auseinandersetzung auch damit enden, dass </w:t>
      </w:r>
      <w:r w:rsidRPr="001A19EC">
        <w:rPr>
          <w:rFonts w:asciiTheme="majorHAnsi" w:hAnsiTheme="majorHAnsi" w:cs="ArialMT"/>
          <w:b/>
          <w:bCs/>
          <w:szCs w:val="26"/>
        </w:rPr>
        <w:t>Standpunkte</w:t>
      </w:r>
      <w:r w:rsidRPr="001A19EC">
        <w:rPr>
          <w:rFonts w:asciiTheme="majorHAnsi" w:hAnsiTheme="majorHAnsi" w:cs="ArialMT"/>
          <w:szCs w:val="26"/>
        </w:rPr>
        <w:t xml:space="preserve"> gegeneinander </w:t>
      </w:r>
      <w:r w:rsidRPr="001A19EC">
        <w:rPr>
          <w:rFonts w:asciiTheme="majorHAnsi" w:hAnsiTheme="majorHAnsi" w:cs="ArialMT"/>
          <w:b/>
          <w:bCs/>
          <w:szCs w:val="26"/>
        </w:rPr>
        <w:t>abg</w:t>
      </w:r>
      <w:r>
        <w:rPr>
          <w:rFonts w:asciiTheme="majorHAnsi" w:hAnsiTheme="majorHAnsi" w:cs="ArialMT"/>
          <w:b/>
          <w:bCs/>
          <w:szCs w:val="26"/>
        </w:rPr>
        <w:t>eg</w:t>
      </w:r>
      <w:r w:rsidRPr="001A19EC">
        <w:rPr>
          <w:rFonts w:asciiTheme="majorHAnsi" w:hAnsiTheme="majorHAnsi" w:cs="ArialMT"/>
          <w:b/>
          <w:bCs/>
          <w:szCs w:val="26"/>
        </w:rPr>
        <w:t>renzt</w:t>
      </w:r>
      <w:r w:rsidRPr="001A19EC">
        <w:rPr>
          <w:rFonts w:asciiTheme="majorHAnsi" w:hAnsiTheme="majorHAnsi" w:cs="ArialMT"/>
          <w:szCs w:val="26"/>
        </w:rPr>
        <w:t xml:space="preserve"> werden. </w:t>
      </w:r>
    </w:p>
    <w:p w:rsidR="001A19EC" w:rsidRPr="001A19EC" w:rsidRDefault="001A19EC" w:rsidP="001A19EC">
      <w:pPr>
        <w:pStyle w:val="Listenabsatz"/>
        <w:numPr>
          <w:ilvl w:val="0"/>
          <w:numId w:val="11"/>
        </w:numPr>
        <w:autoSpaceDE w:val="0"/>
        <w:autoSpaceDN w:val="0"/>
        <w:adjustRightInd w:val="0"/>
        <w:spacing w:after="0"/>
        <w:rPr>
          <w:rFonts w:asciiTheme="majorHAnsi" w:hAnsiTheme="majorHAnsi" w:cs="ArialMT"/>
          <w:szCs w:val="26"/>
        </w:rPr>
      </w:pPr>
      <w:r w:rsidRPr="001A19EC">
        <w:rPr>
          <w:rFonts w:asciiTheme="majorHAnsi" w:hAnsiTheme="majorHAnsi" w:cs="ArialMT"/>
          <w:szCs w:val="26"/>
        </w:rPr>
        <w:t xml:space="preserve">Um die Idealziele zu erreichen, soll der Gesprächspartner im Rahmen der argumentativen Auseinandersetzung </w:t>
      </w:r>
      <w:r w:rsidRPr="001A19EC">
        <w:rPr>
          <w:rFonts w:asciiTheme="majorHAnsi" w:hAnsiTheme="majorHAnsi" w:cs="ArialMT"/>
          <w:b/>
          <w:bCs/>
          <w:szCs w:val="26"/>
        </w:rPr>
        <w:t>überzeugt</w:t>
      </w:r>
      <w:r w:rsidRPr="001A19EC">
        <w:rPr>
          <w:rFonts w:asciiTheme="majorHAnsi" w:hAnsiTheme="majorHAnsi" w:cs="ArialMT"/>
          <w:szCs w:val="26"/>
        </w:rPr>
        <w:t xml:space="preserve"> werden.</w:t>
      </w:r>
    </w:p>
    <w:p w:rsidR="001A19EC" w:rsidRPr="001A19EC" w:rsidRDefault="001A19EC" w:rsidP="001A19EC">
      <w:pPr>
        <w:pStyle w:val="Listenabsatz"/>
        <w:numPr>
          <w:ilvl w:val="0"/>
          <w:numId w:val="11"/>
        </w:numPr>
        <w:autoSpaceDE w:val="0"/>
        <w:autoSpaceDN w:val="0"/>
        <w:adjustRightInd w:val="0"/>
        <w:spacing w:after="0"/>
        <w:rPr>
          <w:rFonts w:asciiTheme="majorHAnsi" w:hAnsiTheme="majorHAnsi" w:cs="ArialMT"/>
          <w:szCs w:val="26"/>
        </w:rPr>
      </w:pPr>
      <w:r w:rsidRPr="001A19EC">
        <w:rPr>
          <w:rFonts w:asciiTheme="majorHAnsi" w:hAnsiTheme="majorHAnsi" w:cs="ArialMT"/>
          <w:szCs w:val="26"/>
        </w:rPr>
        <w:t xml:space="preserve">Voraussetzung dafür ist die Bereitschaft, </w:t>
      </w:r>
      <w:r w:rsidRPr="001A19EC">
        <w:rPr>
          <w:rFonts w:asciiTheme="majorHAnsi" w:hAnsiTheme="majorHAnsi" w:cs="ArialMT"/>
          <w:b/>
          <w:bCs/>
          <w:szCs w:val="26"/>
        </w:rPr>
        <w:t>den anderen als Gesprächspartner</w:t>
      </w:r>
      <w:r w:rsidRPr="001A19EC">
        <w:rPr>
          <w:rFonts w:asciiTheme="majorHAnsi" w:hAnsiTheme="majorHAnsi" w:cs="ArialMT"/>
          <w:szCs w:val="26"/>
        </w:rPr>
        <w:t xml:space="preserve"> mit eigenen Vorstellungen, Auffassungen und Meinungen zu </w:t>
      </w:r>
      <w:r w:rsidRPr="001A19EC">
        <w:rPr>
          <w:rFonts w:asciiTheme="majorHAnsi" w:hAnsiTheme="majorHAnsi" w:cs="ArialMT"/>
          <w:b/>
          <w:bCs/>
          <w:szCs w:val="26"/>
        </w:rPr>
        <w:t>akzeptieren</w:t>
      </w:r>
      <w:r w:rsidRPr="001A19EC">
        <w:rPr>
          <w:rFonts w:asciiTheme="majorHAnsi" w:hAnsiTheme="majorHAnsi" w:cs="ArialMT"/>
          <w:szCs w:val="26"/>
        </w:rPr>
        <w:t>.</w:t>
      </w:r>
    </w:p>
    <w:p w:rsidR="001A19EC" w:rsidRDefault="001A19EC">
      <w:pPr>
        <w:rPr>
          <w:rFonts w:asciiTheme="majorHAnsi" w:hAnsiTheme="majorHAnsi" w:cs="ArialMT"/>
          <w:szCs w:val="26"/>
        </w:rPr>
      </w:pPr>
      <w:r>
        <w:rPr>
          <w:rFonts w:asciiTheme="majorHAnsi" w:hAnsiTheme="majorHAnsi" w:cs="ArialMT"/>
          <w:szCs w:val="26"/>
        </w:rPr>
        <w:br w:type="page"/>
      </w:r>
    </w:p>
    <w:p w:rsidR="001A19EC" w:rsidRPr="001A19EC" w:rsidRDefault="001A19EC" w:rsidP="001A19EC">
      <w:pPr>
        <w:pStyle w:val="Listenabsatz"/>
        <w:numPr>
          <w:ilvl w:val="0"/>
          <w:numId w:val="11"/>
        </w:numPr>
        <w:autoSpaceDE w:val="0"/>
        <w:autoSpaceDN w:val="0"/>
        <w:adjustRightInd w:val="0"/>
        <w:spacing w:after="0"/>
        <w:rPr>
          <w:rFonts w:asciiTheme="majorHAnsi" w:hAnsiTheme="majorHAnsi" w:cs="ArialMT"/>
          <w:szCs w:val="26"/>
        </w:rPr>
      </w:pPr>
      <w:r w:rsidRPr="001A19EC">
        <w:rPr>
          <w:rFonts w:asciiTheme="majorHAnsi" w:hAnsiTheme="majorHAnsi" w:cs="ArialMT"/>
          <w:szCs w:val="26"/>
        </w:rPr>
        <w:lastRenderedPageBreak/>
        <w:t xml:space="preserve">Bei der Argumentation kommen dabei alle jene Typen der Argumentation und Argumentationsstrategien zum Zuge, die den anderen nicht um jeden Preis überreden oder mundtot machen sollen oder ihm gar gegen seine ausdrücklich artikulierten Interessen eine andere Meinung suggerieren sollen. Der </w:t>
      </w:r>
      <w:r w:rsidRPr="008D5C8F">
        <w:rPr>
          <w:rFonts w:asciiTheme="majorHAnsi" w:hAnsiTheme="majorHAnsi" w:cs="ArialMT"/>
          <w:b/>
          <w:szCs w:val="26"/>
        </w:rPr>
        <w:t>rhetorische Giftschrank</w:t>
      </w:r>
      <w:r w:rsidRPr="001A19EC">
        <w:rPr>
          <w:rFonts w:asciiTheme="majorHAnsi" w:hAnsiTheme="majorHAnsi" w:cs="ArialMT"/>
          <w:szCs w:val="26"/>
        </w:rPr>
        <w:t xml:space="preserve"> bleibt zu.</w:t>
      </w:r>
      <w:bookmarkStart w:id="1" w:name="_GoBack"/>
      <w:bookmarkEnd w:id="1"/>
      <w:r>
        <w:rPr>
          <w:rFonts w:asciiTheme="majorHAnsi" w:hAnsiTheme="majorHAnsi" w:cs="ArialMT"/>
          <w:szCs w:val="26"/>
        </w:rPr>
        <w:br/>
      </w:r>
      <w:r w:rsidRPr="001A19EC">
        <w:rPr>
          <w:rFonts w:asciiTheme="majorHAnsi" w:hAnsiTheme="majorHAnsi" w:cs="ArialMT"/>
          <w:szCs w:val="26"/>
        </w:rPr>
        <w:t xml:space="preserve">Davon unberührt bleiben dabei alle partnerschaftlich fundierten Verfahren, mit denen man den Standpunkt des Gegenübers in einer Argumentation erschüttern kann. Dazu gehören natürlich alle Verfahren, die </w:t>
      </w:r>
    </w:p>
    <w:p w:rsidR="001A19EC" w:rsidRPr="001A19EC" w:rsidRDefault="001A19EC" w:rsidP="001A19EC">
      <w:pPr>
        <w:pStyle w:val="Listenabsatz"/>
        <w:numPr>
          <w:ilvl w:val="3"/>
          <w:numId w:val="11"/>
        </w:numPr>
        <w:tabs>
          <w:tab w:val="left" w:pos="940"/>
          <w:tab w:val="left" w:pos="1440"/>
        </w:tabs>
        <w:autoSpaceDE w:val="0"/>
        <w:autoSpaceDN w:val="0"/>
        <w:adjustRightInd w:val="0"/>
        <w:spacing w:after="0"/>
        <w:rPr>
          <w:rFonts w:asciiTheme="majorHAnsi" w:hAnsiTheme="majorHAnsi" w:cs="ArialMT"/>
          <w:szCs w:val="26"/>
        </w:rPr>
      </w:pPr>
      <w:r w:rsidRPr="001A19EC">
        <w:rPr>
          <w:rFonts w:asciiTheme="majorHAnsi" w:hAnsiTheme="majorHAnsi" w:cs="ArialMT"/>
          <w:szCs w:val="26"/>
        </w:rPr>
        <w:t>die Richtigkeit seiner Argumente bestreiten oder</w:t>
      </w:r>
    </w:p>
    <w:p w:rsidR="001A19EC" w:rsidRPr="001A19EC" w:rsidRDefault="001A19EC" w:rsidP="001A19EC">
      <w:pPr>
        <w:pStyle w:val="Listenabsatz"/>
        <w:numPr>
          <w:ilvl w:val="3"/>
          <w:numId w:val="11"/>
        </w:numPr>
        <w:tabs>
          <w:tab w:val="left" w:pos="940"/>
          <w:tab w:val="left" w:pos="1440"/>
        </w:tabs>
        <w:autoSpaceDE w:val="0"/>
        <w:autoSpaceDN w:val="0"/>
        <w:adjustRightInd w:val="0"/>
        <w:spacing w:after="0"/>
        <w:rPr>
          <w:rFonts w:asciiTheme="majorHAnsi" w:hAnsiTheme="majorHAnsi" w:cs="ArialMT"/>
          <w:szCs w:val="26"/>
        </w:rPr>
      </w:pPr>
      <w:r w:rsidRPr="001A19EC">
        <w:rPr>
          <w:rFonts w:asciiTheme="majorHAnsi" w:hAnsiTheme="majorHAnsi" w:cs="ArialMT"/>
          <w:szCs w:val="26"/>
        </w:rPr>
        <w:t>die Genauigkeit seiner Argumente bezweifeln.</w:t>
      </w:r>
    </w:p>
    <w:p w:rsidR="001A19EC" w:rsidRPr="001A19EC" w:rsidRDefault="00D408BA" w:rsidP="001A19EC">
      <w:pPr>
        <w:tabs>
          <w:tab w:val="left" w:pos="220"/>
          <w:tab w:val="left" w:pos="720"/>
        </w:tabs>
        <w:autoSpaceDE w:val="0"/>
        <w:autoSpaceDN w:val="0"/>
        <w:adjustRightInd w:val="0"/>
        <w:spacing w:after="0"/>
        <w:ind w:left="426"/>
        <w:rPr>
          <w:rFonts w:asciiTheme="majorHAnsi" w:hAnsiTheme="majorHAnsi" w:cs="ArialMT"/>
          <w:szCs w:val="26"/>
        </w:rPr>
      </w:pPr>
      <w:r w:rsidRPr="00D408BA">
        <w:rPr>
          <w:rFonts w:asciiTheme="majorHAnsi" w:hAnsiTheme="majorHAnsi" w:cs="ArialMT"/>
          <w:szCs w:val="26"/>
        </w:rPr>
        <w:t xml:space="preserve">Sofern diese Verfahren den </w:t>
      </w:r>
      <w:r w:rsidRPr="00D408BA">
        <w:rPr>
          <w:rFonts w:asciiTheme="majorHAnsi" w:hAnsiTheme="majorHAnsi" w:cs="ArialMT"/>
          <w:b/>
          <w:szCs w:val="26"/>
        </w:rPr>
        <w:t>realistischen Anforderungen an Alltagsargumentationen</w:t>
      </w:r>
      <w:r w:rsidRPr="00D408BA">
        <w:rPr>
          <w:rFonts w:asciiTheme="majorHAnsi" w:hAnsiTheme="majorHAnsi" w:cs="ArialMT"/>
          <w:szCs w:val="26"/>
        </w:rPr>
        <w:t xml:space="preserve"> entsprechen oder, im Idealfall, den </w:t>
      </w:r>
      <w:r w:rsidRPr="00D408BA">
        <w:rPr>
          <w:rFonts w:asciiTheme="majorHAnsi" w:hAnsiTheme="majorHAnsi" w:cs="ArialMT"/>
          <w:b/>
          <w:szCs w:val="26"/>
        </w:rPr>
        <w:t>Regeln der kritischen Argumentation</w:t>
      </w:r>
      <w:r w:rsidRPr="00D408BA">
        <w:rPr>
          <w:rFonts w:asciiTheme="majorHAnsi" w:hAnsiTheme="majorHAnsi" w:cs="ArialMT"/>
          <w:szCs w:val="26"/>
        </w:rPr>
        <w:t>, sind sie also als partnerschaftliches Argumentieren einzuordnen.</w:t>
      </w:r>
    </w:p>
    <w:p w:rsidR="001A19EC" w:rsidRDefault="001A19EC" w:rsidP="00283D35">
      <w:pPr>
        <w:pStyle w:val="Listenabsatz"/>
        <w:numPr>
          <w:ilvl w:val="0"/>
          <w:numId w:val="12"/>
        </w:numPr>
        <w:autoSpaceDE w:val="0"/>
        <w:autoSpaceDN w:val="0"/>
        <w:adjustRightInd w:val="0"/>
        <w:spacing w:after="0"/>
        <w:rPr>
          <w:rFonts w:asciiTheme="majorHAnsi" w:hAnsiTheme="majorHAnsi" w:cs="ArialMT"/>
          <w:szCs w:val="26"/>
        </w:rPr>
      </w:pPr>
      <w:r w:rsidRPr="001A19EC">
        <w:rPr>
          <w:rFonts w:asciiTheme="majorHAnsi" w:hAnsiTheme="majorHAnsi" w:cs="ArialMT"/>
          <w:bCs/>
          <w:szCs w:val="26"/>
        </w:rPr>
        <w:t>Besonders wichtig für das partnerschaftliche Argumentieren ist aber auch  die Bereitschaft, den anderen überhaupt zu Wort kommen zu lassen,  und die Bereitschaft und  Fähigkeit, dem anderen</w:t>
      </w:r>
      <w:r w:rsidRPr="001A19EC">
        <w:rPr>
          <w:rFonts w:asciiTheme="majorHAnsi" w:hAnsiTheme="majorHAnsi" w:cs="ArialMT"/>
          <w:szCs w:val="26"/>
        </w:rPr>
        <w:t xml:space="preserve"> </w:t>
      </w:r>
      <w:r w:rsidR="00283D35" w:rsidRPr="00283D35">
        <w:rPr>
          <w:rFonts w:asciiTheme="majorHAnsi" w:hAnsiTheme="majorHAnsi" w:cs="ArialMT"/>
          <w:b/>
          <w:szCs w:val="26"/>
        </w:rPr>
        <w:t>zuzuhören</w:t>
      </w:r>
      <w:r w:rsidRPr="001A19EC">
        <w:rPr>
          <w:rFonts w:asciiTheme="majorHAnsi" w:hAnsiTheme="majorHAnsi" w:cs="ArialMT"/>
          <w:szCs w:val="26"/>
        </w:rPr>
        <w:t>.</w:t>
      </w:r>
    </w:p>
    <w:p w:rsidR="001A19EC" w:rsidRDefault="001A19EC" w:rsidP="001A19EC">
      <w:pPr>
        <w:autoSpaceDE w:val="0"/>
        <w:autoSpaceDN w:val="0"/>
        <w:adjustRightInd w:val="0"/>
        <w:spacing w:after="0" w:line="240" w:lineRule="auto"/>
        <w:rPr>
          <w:rFonts w:asciiTheme="majorHAnsi" w:hAnsiTheme="majorHAnsi" w:cs="ArialMT"/>
          <w:szCs w:val="26"/>
        </w:rPr>
      </w:pPr>
    </w:p>
    <w:p w:rsidR="001A19EC" w:rsidRDefault="001A19EC" w:rsidP="001A19EC">
      <w:pPr>
        <w:autoSpaceDE w:val="0"/>
        <w:autoSpaceDN w:val="0"/>
        <w:adjustRightInd w:val="0"/>
        <w:spacing w:after="0" w:line="240" w:lineRule="auto"/>
        <w:rPr>
          <w:rFonts w:asciiTheme="majorHAnsi" w:hAnsiTheme="majorHAnsi" w:cs="ArialMT"/>
          <w:szCs w:val="26"/>
        </w:rPr>
      </w:pPr>
    </w:p>
    <w:p w:rsidR="00283D35" w:rsidRPr="00283D35" w:rsidRDefault="00283D35" w:rsidP="001A19EC">
      <w:pPr>
        <w:autoSpaceDE w:val="0"/>
        <w:autoSpaceDN w:val="0"/>
        <w:adjustRightInd w:val="0"/>
        <w:spacing w:after="0" w:line="240" w:lineRule="auto"/>
        <w:rPr>
          <w:rFonts w:asciiTheme="majorHAnsi" w:hAnsiTheme="majorHAnsi" w:cs="ArialMT"/>
          <w:b/>
          <w:szCs w:val="26"/>
        </w:rPr>
      </w:pPr>
      <w:r w:rsidRPr="00283D35">
        <w:rPr>
          <w:rFonts w:asciiTheme="majorHAnsi" w:hAnsiTheme="majorHAnsi" w:cs="ArialMT"/>
          <w:b/>
          <w:szCs w:val="26"/>
        </w:rPr>
        <w:t>Prinzipien ziviler Konfliktbearbeitung</w:t>
      </w:r>
    </w:p>
    <w:p w:rsidR="00283D35" w:rsidRPr="001A19EC" w:rsidRDefault="00283D35" w:rsidP="001A19EC">
      <w:pPr>
        <w:autoSpaceDE w:val="0"/>
        <w:autoSpaceDN w:val="0"/>
        <w:adjustRightInd w:val="0"/>
        <w:spacing w:after="0" w:line="240" w:lineRule="auto"/>
        <w:rPr>
          <w:rFonts w:asciiTheme="majorHAnsi" w:hAnsiTheme="majorHAnsi" w:cs="ArialMT"/>
          <w:szCs w:val="26"/>
        </w:rPr>
      </w:pPr>
    </w:p>
    <w:p w:rsidR="00283D35" w:rsidRPr="001A19EC" w:rsidRDefault="00283D35" w:rsidP="001A19EC">
      <w:pPr>
        <w:autoSpaceDE w:val="0"/>
        <w:autoSpaceDN w:val="0"/>
        <w:adjustRightInd w:val="0"/>
        <w:spacing w:after="0"/>
        <w:rPr>
          <w:rFonts w:asciiTheme="majorHAnsi" w:hAnsiTheme="majorHAnsi" w:cs="ArialMT"/>
          <w:szCs w:val="26"/>
        </w:rPr>
      </w:pPr>
      <w:r w:rsidRPr="00283D35">
        <w:rPr>
          <w:rFonts w:asciiTheme="majorHAnsi" w:hAnsiTheme="majorHAnsi" w:cs="ArialMT"/>
          <w:szCs w:val="26"/>
        </w:rPr>
        <w:t xml:space="preserve">Frank R. Pfetsch (1994, S. 2) </w:t>
      </w:r>
      <w:r w:rsidR="001A19EC" w:rsidRPr="001A19EC">
        <w:rPr>
          <w:rFonts w:asciiTheme="majorHAnsi" w:hAnsiTheme="majorHAnsi" w:cs="ArialMT"/>
          <w:szCs w:val="26"/>
        </w:rPr>
        <w:t xml:space="preserve">hat für die zivile Konfliktbearbeitung 7 Prinzipien formuliert, die auch für das partnerschaftliche Argumentieren </w:t>
      </w:r>
      <w:r>
        <w:rPr>
          <w:rFonts w:asciiTheme="majorHAnsi" w:hAnsiTheme="majorHAnsi" w:cs="ArialMT"/>
          <w:szCs w:val="26"/>
        </w:rPr>
        <w:t>wichtige Anregungen geben können.</w:t>
      </w:r>
      <w:r w:rsidR="001A19EC" w:rsidRPr="001A19EC">
        <w:rPr>
          <w:rFonts w:asciiTheme="majorHAnsi" w:hAnsiTheme="majorHAnsi" w:cs="ArialMT"/>
          <w:szCs w:val="26"/>
        </w:rPr>
        <w:t xml:space="preserve"> </w:t>
      </w:r>
      <w:r>
        <w:rPr>
          <w:rFonts w:asciiTheme="majorHAnsi" w:hAnsiTheme="majorHAnsi" w:cs="ArialMT"/>
          <w:szCs w:val="26"/>
        </w:rPr>
        <w:br/>
      </w:r>
      <w:r>
        <w:rPr>
          <w:rFonts w:asciiTheme="majorHAnsi" w:hAnsiTheme="majorHAnsi" w:cs="ArialMT"/>
          <w:szCs w:val="26"/>
        </w:rPr>
        <w:br/>
      </w:r>
      <w:r w:rsidR="001A19EC" w:rsidRPr="001A19EC">
        <w:rPr>
          <w:rFonts w:asciiTheme="majorHAnsi" w:hAnsiTheme="majorHAnsi" w:cs="ArialMT"/>
          <w:szCs w:val="26"/>
        </w:rPr>
        <w:t>Dies</w:t>
      </w:r>
      <w:r w:rsidR="001A19EC">
        <w:rPr>
          <w:rFonts w:asciiTheme="majorHAnsi" w:hAnsiTheme="majorHAnsi" w:cs="ArialMT"/>
          <w:szCs w:val="26"/>
        </w:rPr>
        <w:t>e</w:t>
      </w:r>
      <w:r w:rsidR="001A19EC" w:rsidRPr="001A19EC">
        <w:rPr>
          <w:rFonts w:asciiTheme="majorHAnsi" w:hAnsiTheme="majorHAnsi" w:cs="ArialMT"/>
          <w:szCs w:val="26"/>
        </w:rPr>
        <w:t xml:space="preserve"> Prinzipien sind:</w:t>
      </w:r>
      <w:r>
        <w:rPr>
          <w:rFonts w:asciiTheme="majorHAnsi" w:hAnsiTheme="majorHAnsi" w:cs="ArialMT"/>
          <w:szCs w:val="26"/>
        </w:rPr>
        <w:t>“</w:t>
      </w:r>
    </w:p>
    <w:p w:rsidR="001A19EC" w:rsidRPr="001A19EC" w:rsidRDefault="00283D35" w:rsidP="001A19EC">
      <w:pPr>
        <w:numPr>
          <w:ilvl w:val="0"/>
          <w:numId w:val="10"/>
        </w:numPr>
        <w:tabs>
          <w:tab w:val="left" w:pos="220"/>
          <w:tab w:val="left" w:pos="720"/>
        </w:tabs>
        <w:autoSpaceDE w:val="0"/>
        <w:autoSpaceDN w:val="0"/>
        <w:adjustRightInd w:val="0"/>
        <w:spacing w:after="0"/>
        <w:ind w:hanging="720"/>
        <w:rPr>
          <w:rFonts w:asciiTheme="majorHAnsi" w:hAnsiTheme="majorHAnsi" w:cs="ArialMT"/>
          <w:szCs w:val="26"/>
        </w:rPr>
      </w:pPr>
      <w:r>
        <w:rPr>
          <w:rFonts w:asciiTheme="majorHAnsi" w:hAnsiTheme="majorHAnsi" w:cs="ArialMT"/>
          <w:szCs w:val="26"/>
        </w:rPr>
        <w:t xml:space="preserve"> </w:t>
      </w:r>
      <w:r w:rsidR="001A19EC" w:rsidRPr="001A19EC">
        <w:rPr>
          <w:rFonts w:asciiTheme="majorHAnsi" w:hAnsiTheme="majorHAnsi" w:cs="ArialMT"/>
          <w:szCs w:val="26"/>
        </w:rPr>
        <w:t>Suche nach Lösungen, die allen Parteien einen Vorteil bringen.</w:t>
      </w:r>
    </w:p>
    <w:p w:rsidR="001A19EC" w:rsidRPr="001A19EC" w:rsidRDefault="00283D35" w:rsidP="001A19EC">
      <w:pPr>
        <w:numPr>
          <w:ilvl w:val="0"/>
          <w:numId w:val="10"/>
        </w:numPr>
        <w:tabs>
          <w:tab w:val="left" w:pos="220"/>
          <w:tab w:val="left" w:pos="720"/>
        </w:tabs>
        <w:autoSpaceDE w:val="0"/>
        <w:autoSpaceDN w:val="0"/>
        <w:adjustRightInd w:val="0"/>
        <w:spacing w:after="0"/>
        <w:ind w:hanging="720"/>
        <w:rPr>
          <w:rFonts w:asciiTheme="majorHAnsi" w:hAnsiTheme="majorHAnsi" w:cs="ArialMT"/>
          <w:szCs w:val="26"/>
        </w:rPr>
      </w:pPr>
      <w:r>
        <w:rPr>
          <w:rFonts w:asciiTheme="majorHAnsi" w:hAnsiTheme="majorHAnsi" w:cs="ArialMT"/>
          <w:szCs w:val="26"/>
        </w:rPr>
        <w:t xml:space="preserve"> </w:t>
      </w:r>
      <w:r w:rsidR="001A19EC" w:rsidRPr="001A19EC">
        <w:rPr>
          <w:rFonts w:asciiTheme="majorHAnsi" w:hAnsiTheme="majorHAnsi" w:cs="ArialMT"/>
          <w:szCs w:val="26"/>
        </w:rPr>
        <w:t>Suche nach Lösungen, die sicherstellen, dass keine Partei ihr Gesicht verliert.</w:t>
      </w:r>
    </w:p>
    <w:p w:rsidR="001A19EC" w:rsidRPr="001A19EC" w:rsidRDefault="00283D35" w:rsidP="001A19EC">
      <w:pPr>
        <w:numPr>
          <w:ilvl w:val="0"/>
          <w:numId w:val="10"/>
        </w:numPr>
        <w:tabs>
          <w:tab w:val="left" w:pos="220"/>
          <w:tab w:val="left" w:pos="720"/>
        </w:tabs>
        <w:autoSpaceDE w:val="0"/>
        <w:autoSpaceDN w:val="0"/>
        <w:adjustRightInd w:val="0"/>
        <w:spacing w:after="0"/>
        <w:ind w:hanging="720"/>
        <w:rPr>
          <w:rFonts w:asciiTheme="majorHAnsi" w:hAnsiTheme="majorHAnsi" w:cs="ArialMT"/>
          <w:szCs w:val="26"/>
        </w:rPr>
      </w:pPr>
      <w:r>
        <w:rPr>
          <w:rFonts w:asciiTheme="majorHAnsi" w:hAnsiTheme="majorHAnsi" w:cs="ArialMT"/>
          <w:szCs w:val="26"/>
        </w:rPr>
        <w:t xml:space="preserve"> </w:t>
      </w:r>
      <w:r w:rsidR="001A19EC" w:rsidRPr="001A19EC">
        <w:rPr>
          <w:rFonts w:asciiTheme="majorHAnsi" w:hAnsiTheme="majorHAnsi" w:cs="ArialMT"/>
          <w:szCs w:val="26"/>
        </w:rPr>
        <w:t>Trenne persönliche von sachlichen Problemen.</w:t>
      </w:r>
    </w:p>
    <w:p w:rsidR="001A19EC" w:rsidRPr="001A19EC" w:rsidRDefault="001A19EC" w:rsidP="00283D35">
      <w:pPr>
        <w:numPr>
          <w:ilvl w:val="0"/>
          <w:numId w:val="10"/>
        </w:numPr>
        <w:autoSpaceDE w:val="0"/>
        <w:autoSpaceDN w:val="0"/>
        <w:adjustRightInd w:val="0"/>
        <w:spacing w:after="0"/>
        <w:ind w:left="284" w:hanging="284"/>
        <w:rPr>
          <w:rFonts w:asciiTheme="majorHAnsi" w:hAnsiTheme="majorHAnsi" w:cs="ArialMT"/>
          <w:szCs w:val="26"/>
        </w:rPr>
      </w:pPr>
      <w:r w:rsidRPr="001A19EC">
        <w:rPr>
          <w:rFonts w:asciiTheme="majorHAnsi" w:hAnsiTheme="majorHAnsi" w:cs="ArialMT"/>
          <w:szCs w:val="26"/>
        </w:rPr>
        <w:t>Überzeuge deinen Gegner vom Vorteil einer Lösung und von dem Schaden, der mit einer anderen Verhandlungslösung verbunden sein kann.</w:t>
      </w:r>
    </w:p>
    <w:p w:rsidR="001A19EC" w:rsidRPr="001A19EC" w:rsidRDefault="00283D35" w:rsidP="001A19EC">
      <w:pPr>
        <w:numPr>
          <w:ilvl w:val="0"/>
          <w:numId w:val="10"/>
        </w:numPr>
        <w:tabs>
          <w:tab w:val="left" w:pos="220"/>
          <w:tab w:val="left" w:pos="720"/>
        </w:tabs>
        <w:autoSpaceDE w:val="0"/>
        <w:autoSpaceDN w:val="0"/>
        <w:adjustRightInd w:val="0"/>
        <w:spacing w:after="0"/>
        <w:ind w:hanging="720"/>
        <w:rPr>
          <w:rFonts w:asciiTheme="majorHAnsi" w:hAnsiTheme="majorHAnsi" w:cs="ArialMT"/>
          <w:szCs w:val="26"/>
        </w:rPr>
      </w:pPr>
      <w:r>
        <w:rPr>
          <w:rFonts w:asciiTheme="majorHAnsi" w:hAnsiTheme="majorHAnsi" w:cs="ArialMT"/>
          <w:szCs w:val="26"/>
        </w:rPr>
        <w:t xml:space="preserve"> </w:t>
      </w:r>
      <w:r w:rsidR="001A19EC" w:rsidRPr="001A19EC">
        <w:rPr>
          <w:rFonts w:asciiTheme="majorHAnsi" w:hAnsiTheme="majorHAnsi" w:cs="ArialMT"/>
          <w:szCs w:val="26"/>
        </w:rPr>
        <w:t>Suche bei festgefahrenen Verhandlungen nach informellen Gesprächen.</w:t>
      </w:r>
    </w:p>
    <w:p w:rsidR="001A19EC" w:rsidRPr="001A19EC" w:rsidRDefault="001A19EC" w:rsidP="00283D35">
      <w:pPr>
        <w:numPr>
          <w:ilvl w:val="0"/>
          <w:numId w:val="10"/>
        </w:numPr>
        <w:autoSpaceDE w:val="0"/>
        <w:autoSpaceDN w:val="0"/>
        <w:adjustRightInd w:val="0"/>
        <w:spacing w:after="0"/>
        <w:ind w:left="284" w:hanging="284"/>
        <w:rPr>
          <w:rFonts w:asciiTheme="majorHAnsi" w:hAnsiTheme="majorHAnsi" w:cs="ArialMT"/>
          <w:szCs w:val="26"/>
        </w:rPr>
      </w:pPr>
      <w:r w:rsidRPr="001A19EC">
        <w:rPr>
          <w:rFonts w:asciiTheme="majorHAnsi" w:hAnsiTheme="majorHAnsi" w:cs="ArialMT"/>
          <w:szCs w:val="26"/>
        </w:rPr>
        <w:t>Suche bei komplexen Entscheidungsmaterien diejenigen aus, die am ehesten die Zustimmung erhalten und damit einer Lösung zugeführt werden können.</w:t>
      </w:r>
    </w:p>
    <w:p w:rsidR="001A19EC" w:rsidRPr="001A19EC" w:rsidRDefault="001A19EC" w:rsidP="00283D35">
      <w:pPr>
        <w:numPr>
          <w:ilvl w:val="0"/>
          <w:numId w:val="10"/>
        </w:numPr>
        <w:autoSpaceDE w:val="0"/>
        <w:autoSpaceDN w:val="0"/>
        <w:adjustRightInd w:val="0"/>
        <w:spacing w:after="0"/>
        <w:ind w:left="284" w:hanging="284"/>
        <w:rPr>
          <w:rFonts w:asciiTheme="majorHAnsi" w:hAnsiTheme="majorHAnsi" w:cs="ArialMT"/>
          <w:szCs w:val="26"/>
        </w:rPr>
      </w:pPr>
      <w:r w:rsidRPr="001A19EC">
        <w:rPr>
          <w:rFonts w:asciiTheme="majorHAnsi" w:hAnsiTheme="majorHAnsi" w:cs="ArialMT"/>
          <w:szCs w:val="26"/>
        </w:rPr>
        <w:t>Sind mehrere Güter gleichzeitig strittig, versuche ein Gut mit einem anderen aufzurechnen (Paketlösung)."</w:t>
      </w:r>
    </w:p>
    <w:p w:rsidR="001A19EC" w:rsidRDefault="001A19EC" w:rsidP="00C93FA1">
      <w:pPr>
        <w:rPr>
          <w:rFonts w:asciiTheme="majorHAnsi" w:hAnsiTheme="majorHAnsi" w:cs="ArialMT"/>
          <w:szCs w:val="26"/>
        </w:rPr>
      </w:pPr>
    </w:p>
    <w:p w:rsidR="00283D35" w:rsidRDefault="00283D35" w:rsidP="00C93FA1">
      <w:pPr>
        <w:rPr>
          <w:rFonts w:asciiTheme="majorHAnsi" w:hAnsiTheme="majorHAnsi" w:cs="ArialMT"/>
          <w:szCs w:val="26"/>
        </w:rPr>
      </w:pPr>
      <w:r>
        <w:rPr>
          <w:rFonts w:asciiTheme="majorHAnsi" w:hAnsiTheme="majorHAnsi" w:cs="ArialMT"/>
          <w:szCs w:val="26"/>
        </w:rPr>
        <w:t>Quelle:</w:t>
      </w:r>
    </w:p>
    <w:p w:rsidR="00283D35" w:rsidRDefault="00283D35" w:rsidP="00C93FA1">
      <w:pPr>
        <w:rPr>
          <w:rFonts w:asciiTheme="majorHAnsi" w:hAnsiTheme="majorHAnsi" w:cs="ArialMT"/>
          <w:szCs w:val="26"/>
        </w:rPr>
      </w:pPr>
      <w:r w:rsidRPr="00283D35">
        <w:rPr>
          <w:rFonts w:asciiTheme="majorHAnsi" w:hAnsiTheme="majorHAnsi" w:cs="ArialMT"/>
          <w:szCs w:val="26"/>
        </w:rPr>
        <w:t>Pfetsch, Frank R. (1994): Konflikt und Konfliktbewältigung. Beispiele für Formen zwischenstaatlicher Auseinandersetzungen, Stuttgart: Klett 1994</w:t>
      </w:r>
    </w:p>
    <w:p w:rsidR="00283D35" w:rsidRDefault="00C93FA1" w:rsidP="00C93FA1">
      <w:pPr>
        <w:rPr>
          <w:b/>
        </w:rPr>
      </w:pPr>
      <w:r>
        <w:rPr>
          <w:b/>
        </w:rPr>
        <w:t xml:space="preserve">Arbeitsanregung: </w:t>
      </w:r>
    </w:p>
    <w:p w:rsidR="00283D35" w:rsidRDefault="00283D35" w:rsidP="00283D35">
      <w:pPr>
        <w:pStyle w:val="Listenabsatz"/>
        <w:numPr>
          <w:ilvl w:val="0"/>
          <w:numId w:val="13"/>
        </w:numPr>
      </w:pPr>
      <w:r>
        <w:t>Zeigen Sie die Bedeutung der Prinzipien einer partnerschaftlichen Kommunikation an geeigneten Beispielen auf.</w:t>
      </w:r>
    </w:p>
    <w:p w:rsidR="00607BFF" w:rsidRDefault="00283D35" w:rsidP="00283D35">
      <w:pPr>
        <w:pStyle w:val="Listenabsatz"/>
        <w:numPr>
          <w:ilvl w:val="0"/>
          <w:numId w:val="13"/>
        </w:numPr>
      </w:pPr>
      <w:r>
        <w:t>Welche der Prinzipien ziviler Konfliktbewältigung erscheint Ihnen besonders wichtig? - Sortieren Sie die Prinzipien nach Ihrer Bedeutung für Sie selbst. Begründen Sie Ihre Entscheidungen.</w:t>
      </w:r>
    </w:p>
    <w:sectPr w:rsidR="00607BFF"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5" w15:restartNumberingAfterBreak="0">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0" w15:restartNumberingAfterBreak="0">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11" w15:restartNumberingAfterBreak="0">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1"/>
  </w:num>
  <w:num w:numId="4">
    <w:abstractNumId w:val="7"/>
  </w:num>
  <w:num w:numId="5">
    <w:abstractNumId w:val="12"/>
  </w:num>
  <w:num w:numId="6">
    <w:abstractNumId w:val="8"/>
  </w:num>
  <w:num w:numId="7">
    <w:abstractNumId w:val="6"/>
  </w:num>
  <w:num w:numId="8">
    <w:abstractNumId w:val="0"/>
  </w:num>
  <w:num w:numId="9">
    <w:abstractNumId w:val="10"/>
  </w:num>
  <w:num w:numId="10">
    <w:abstractNumId w:val="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53F39"/>
    <w:rsid w:val="00074F4B"/>
    <w:rsid w:val="000D5E21"/>
    <w:rsid w:val="001A19EC"/>
    <w:rsid w:val="00283D35"/>
    <w:rsid w:val="002E5557"/>
    <w:rsid w:val="003C1203"/>
    <w:rsid w:val="003D2C3A"/>
    <w:rsid w:val="0045146F"/>
    <w:rsid w:val="004E5E5F"/>
    <w:rsid w:val="004F00A4"/>
    <w:rsid w:val="005E76F8"/>
    <w:rsid w:val="00607BFF"/>
    <w:rsid w:val="007C661F"/>
    <w:rsid w:val="00870709"/>
    <w:rsid w:val="00897B21"/>
    <w:rsid w:val="008C01DC"/>
    <w:rsid w:val="008D5C8F"/>
    <w:rsid w:val="00A204EF"/>
    <w:rsid w:val="00B81F2C"/>
    <w:rsid w:val="00C63866"/>
    <w:rsid w:val="00C93FA1"/>
    <w:rsid w:val="00CA7510"/>
    <w:rsid w:val="00D408BA"/>
    <w:rsid w:val="00D453BE"/>
    <w:rsid w:val="00E55B3E"/>
    <w:rsid w:val="00EE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7473-AE4D-467D-A328-E14E57F5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5</cp:revision>
  <cp:lastPrinted>2015-02-11T10:29:00Z</cp:lastPrinted>
  <dcterms:created xsi:type="dcterms:W3CDTF">2015-02-11T10:29:00Z</dcterms:created>
  <dcterms:modified xsi:type="dcterms:W3CDTF">2015-07-20T15:43:00Z</dcterms:modified>
</cp:coreProperties>
</file>