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FA663" w14:textId="746D3784" w:rsidR="00D64A30" w:rsidRPr="00533AA7" w:rsidRDefault="00FE7C80" w:rsidP="00D4768E">
      <w:pPr>
        <w:spacing w:after="360" w:line="240" w:lineRule="auto"/>
        <w:rPr>
          <w:rFonts w:asciiTheme="majorHAnsi" w:eastAsiaTheme="majorEastAsia" w:hAnsiTheme="majorHAnsi" w:cstheme="majorBidi"/>
          <w:b/>
          <w:bCs/>
          <w:color w:val="365F91" w:themeColor="accent1" w:themeShade="BF"/>
          <w:sz w:val="32"/>
          <w:szCs w:val="28"/>
        </w:rPr>
      </w:pPr>
      <w:r>
        <w:rPr>
          <w:rFonts w:asciiTheme="majorHAnsi" w:eastAsiaTheme="majorEastAsia" w:hAnsiTheme="majorHAnsi" w:cstheme="majorBidi"/>
          <w:b/>
          <w:bCs/>
          <w:noProof/>
          <w:color w:val="365F91" w:themeColor="accent1" w:themeShade="BF"/>
          <w:sz w:val="36"/>
          <w:szCs w:val="28"/>
          <w:lang w:eastAsia="de-DE"/>
        </w:rPr>
        <w:t>Scheineinigkeit oder Scheinuneinigkeit vermeiden</w:t>
      </w:r>
      <w:r w:rsidR="00747C4E" w:rsidRPr="0044340B">
        <w:rPr>
          <w:rFonts w:asciiTheme="majorHAnsi" w:eastAsiaTheme="majorEastAsia" w:hAnsiTheme="majorHAnsi" w:cstheme="majorBidi"/>
          <w:b/>
          <w:bCs/>
          <w:color w:val="365F91" w:themeColor="accent1" w:themeShade="BF"/>
          <w:sz w:val="24"/>
          <w:szCs w:val="28"/>
        </w:rPr>
        <w:br/>
      </w:r>
      <w:r>
        <w:rPr>
          <w:rFonts w:asciiTheme="majorHAnsi" w:eastAsiaTheme="majorEastAsia" w:hAnsiTheme="majorHAnsi" w:cstheme="majorBidi"/>
          <w:b/>
          <w:bCs/>
          <w:color w:val="365F91" w:themeColor="accent1" w:themeShade="BF"/>
          <w:sz w:val="24"/>
          <w:szCs w:val="28"/>
        </w:rPr>
        <w:t>Interpretationen in der Alltagskommunikation</w:t>
      </w:r>
    </w:p>
    <w:p w14:paraId="586B0625" w14:textId="77777777" w:rsidR="00204900" w:rsidRDefault="00204900" w:rsidP="00007010">
      <w:pPr>
        <w:spacing w:before="60" w:after="60" w:line="240" w:lineRule="auto"/>
        <w:rPr>
          <w:rFonts w:ascii="Cambria" w:hAnsi="Cambria"/>
        </w:rPr>
        <w:sectPr w:rsidR="00204900" w:rsidSect="006A4AAE">
          <w:headerReference w:type="default" r:id="rId8"/>
          <w:footerReference w:type="default" r:id="rId9"/>
          <w:type w:val="continuous"/>
          <w:pgSz w:w="11906" w:h="16838"/>
          <w:pgMar w:top="1417" w:right="1417" w:bottom="1134" w:left="1417" w:header="708" w:footer="708" w:gutter="0"/>
          <w:cols w:space="708"/>
          <w:docGrid w:linePitch="360"/>
        </w:sectPr>
      </w:pPr>
    </w:p>
    <w:p w14:paraId="0BC1DAAD" w14:textId="6D39AB3C" w:rsidR="00007010" w:rsidRPr="00007010" w:rsidRDefault="00007010" w:rsidP="00204900">
      <w:pPr>
        <w:spacing w:before="60" w:after="60" w:line="240" w:lineRule="auto"/>
        <w:ind w:right="706"/>
        <w:rPr>
          <w:rFonts w:ascii="Cambria" w:hAnsi="Cambria"/>
        </w:rPr>
      </w:pPr>
      <w:r w:rsidRPr="00007010">
        <w:rPr>
          <w:rFonts w:ascii="Cambria" w:hAnsi="Cambria"/>
        </w:rPr>
        <w:t>Im Alltag spielen Interpretationen von Äußerungen eine große Rolle</w:t>
      </w:r>
      <w:r w:rsidR="00204900">
        <w:rPr>
          <w:rFonts w:ascii="Cambria" w:hAnsi="Cambria"/>
        </w:rPr>
        <w:t>.</w:t>
      </w:r>
      <w:r w:rsidRPr="00007010">
        <w:rPr>
          <w:rFonts w:ascii="Cambria" w:hAnsi="Cambria"/>
        </w:rPr>
        <w:t>Formulierungen, die wir in unserer alltä</w:t>
      </w:r>
      <w:bookmarkStart w:id="0" w:name="_GoBack"/>
      <w:bookmarkEnd w:id="0"/>
      <w:r w:rsidRPr="00007010">
        <w:rPr>
          <w:rFonts w:ascii="Cambria" w:hAnsi="Cambria"/>
        </w:rPr>
        <w:t xml:space="preserve">glichen Kommunikation verwenden, sind nicht selten Ursache von Missverständnissen, weil sie unterschiedliche Interpretationen zulassen. </w:t>
      </w:r>
    </w:p>
    <w:p w14:paraId="26EECC2E" w14:textId="77777777" w:rsidR="00007010" w:rsidRPr="00007010" w:rsidRDefault="00007010" w:rsidP="00204900">
      <w:pPr>
        <w:spacing w:before="60" w:after="60" w:line="240" w:lineRule="auto"/>
        <w:ind w:right="706"/>
        <w:rPr>
          <w:rFonts w:ascii="Cambria" w:hAnsi="Cambria"/>
        </w:rPr>
      </w:pPr>
      <w:r w:rsidRPr="00007010">
        <w:rPr>
          <w:rFonts w:ascii="Cambria" w:hAnsi="Cambria"/>
        </w:rPr>
        <w:t xml:space="preserve">Wer z. B. sagt "Paul lässt sich wieder Zeit." darf sich nicht wundern, wenn diese Äußerung beim Empfänger verschiedene Interpretationen zulässt. </w:t>
      </w:r>
    </w:p>
    <w:p w14:paraId="321BD66E" w14:textId="77777777" w:rsidR="00007010" w:rsidRPr="00204900" w:rsidRDefault="00007010" w:rsidP="00204900">
      <w:pPr>
        <w:pStyle w:val="Listenabsatz"/>
        <w:numPr>
          <w:ilvl w:val="0"/>
          <w:numId w:val="20"/>
        </w:numPr>
        <w:spacing w:before="60" w:after="60" w:line="240" w:lineRule="auto"/>
        <w:ind w:right="706"/>
        <w:rPr>
          <w:rFonts w:ascii="Cambria" w:hAnsi="Cambria"/>
        </w:rPr>
      </w:pPr>
      <w:r w:rsidRPr="00204900">
        <w:rPr>
          <w:rFonts w:ascii="Cambria" w:hAnsi="Cambria"/>
        </w:rPr>
        <w:t xml:space="preserve">So könnte diese Formulierung verstanden werden als Tadel, weil Paul etwa dazu neigt, zeitliche Vorgaben nicht einzuhalten. </w:t>
      </w:r>
    </w:p>
    <w:p w14:paraId="70FE0C01" w14:textId="77777777" w:rsidR="00007010" w:rsidRPr="00204900" w:rsidRDefault="00007010" w:rsidP="00204900">
      <w:pPr>
        <w:pStyle w:val="Listenabsatz"/>
        <w:numPr>
          <w:ilvl w:val="0"/>
          <w:numId w:val="20"/>
        </w:numPr>
        <w:spacing w:before="60" w:after="60" w:line="240" w:lineRule="auto"/>
        <w:ind w:right="706"/>
        <w:rPr>
          <w:rFonts w:ascii="Cambria" w:hAnsi="Cambria"/>
        </w:rPr>
      </w:pPr>
      <w:r w:rsidRPr="00204900">
        <w:rPr>
          <w:rFonts w:ascii="Cambria" w:hAnsi="Cambria"/>
        </w:rPr>
        <w:t xml:space="preserve">Auf der anderen Seite könnte mit dieser Äußerung aber auch Anerkennung zum Ausdruck gebracht werden, die Pauls bedachte Art vor Entscheidungen positiv hervorheben soll. </w:t>
      </w:r>
    </w:p>
    <w:p w14:paraId="5D1F7E98" w14:textId="77777777" w:rsidR="00007010" w:rsidRPr="00007010" w:rsidRDefault="00007010" w:rsidP="00204900">
      <w:pPr>
        <w:spacing w:before="60" w:after="60" w:line="240" w:lineRule="auto"/>
        <w:ind w:right="706"/>
        <w:rPr>
          <w:rFonts w:ascii="Cambria" w:hAnsi="Cambria"/>
        </w:rPr>
      </w:pPr>
      <w:r w:rsidRPr="00007010">
        <w:rPr>
          <w:rFonts w:ascii="Cambria" w:hAnsi="Cambria"/>
        </w:rPr>
        <w:t xml:space="preserve">In der Kommunikationspsychologie und der linguistischen Pragmatik hat man sich gerade auch mit dieser Problematik beschäftigt und verschiedene interessante Ansätze (u. a. Friedemann Schulz von Thuns Modell des Nachrichtenquadrats oder die Sprechakttheorie im Gefolge der Arbeiten von Austin und Searle.) </w:t>
      </w:r>
    </w:p>
    <w:p w14:paraId="1C486D5B" w14:textId="77777777" w:rsidR="00007010" w:rsidRPr="00007010" w:rsidRDefault="00007010" w:rsidP="00204900">
      <w:pPr>
        <w:spacing w:before="60" w:after="60" w:line="240" w:lineRule="auto"/>
        <w:ind w:right="706"/>
        <w:rPr>
          <w:rFonts w:ascii="Cambria" w:hAnsi="Cambria"/>
        </w:rPr>
      </w:pPr>
      <w:r w:rsidRPr="00007010">
        <w:rPr>
          <w:rFonts w:ascii="Cambria" w:hAnsi="Cambria"/>
        </w:rPr>
        <w:t xml:space="preserve">Nicht zuletzt am Vorhandensein unterschiedlicher Interpretationen liegt es, dass es beim Argumentieren häufig zu </w:t>
      </w:r>
      <w:r w:rsidRPr="00204900">
        <w:rPr>
          <w:rFonts w:ascii="Cambria" w:hAnsi="Cambria"/>
          <w:b/>
        </w:rPr>
        <w:t>Scheineinigkeit oder Scheinuneinigkeit</w:t>
      </w:r>
      <w:r w:rsidRPr="00007010">
        <w:rPr>
          <w:rFonts w:ascii="Cambria" w:hAnsi="Cambria"/>
        </w:rPr>
        <w:t xml:space="preserve"> kommen kann, die wohl die häufigste Ursache von Missverständnissen darstellt. (vgl. Klaus Bayer 1999, S.77f.) </w:t>
      </w:r>
    </w:p>
    <w:p w14:paraId="2197F143" w14:textId="77777777" w:rsidR="00007010" w:rsidRPr="00204900" w:rsidRDefault="00007010" w:rsidP="00204900">
      <w:pPr>
        <w:spacing w:before="240" w:after="120" w:line="240" w:lineRule="auto"/>
        <w:ind w:right="706"/>
        <w:rPr>
          <w:rFonts w:ascii="Cambria" w:hAnsi="Cambria"/>
          <w:b/>
          <w:sz w:val="24"/>
          <w:szCs w:val="24"/>
        </w:rPr>
      </w:pPr>
      <w:r w:rsidRPr="00204900">
        <w:rPr>
          <w:rFonts w:ascii="Cambria" w:hAnsi="Cambria"/>
          <w:b/>
          <w:sz w:val="24"/>
          <w:szCs w:val="24"/>
        </w:rPr>
        <w:t>Präzisierung und Definition</w:t>
      </w:r>
    </w:p>
    <w:p w14:paraId="5D0F4977" w14:textId="77777777" w:rsidR="00007010" w:rsidRPr="00007010" w:rsidRDefault="00007010" w:rsidP="00204900">
      <w:pPr>
        <w:spacing w:before="60" w:after="60" w:line="240" w:lineRule="auto"/>
        <w:ind w:right="706"/>
        <w:rPr>
          <w:rFonts w:ascii="Cambria" w:hAnsi="Cambria"/>
        </w:rPr>
      </w:pPr>
      <w:r w:rsidRPr="00007010">
        <w:rPr>
          <w:rFonts w:ascii="Cambria" w:hAnsi="Cambria"/>
        </w:rPr>
        <w:t xml:space="preserve">Instrumente um derartigen Missverständnissen vorzubeugen, stellen beim Argumentieren die </w:t>
      </w:r>
      <w:r w:rsidRPr="00204900">
        <w:rPr>
          <w:rFonts w:ascii="Cambria" w:hAnsi="Cambria"/>
          <w:b/>
        </w:rPr>
        <w:t>Präzisierung</w:t>
      </w:r>
      <w:r w:rsidRPr="00007010">
        <w:rPr>
          <w:rFonts w:ascii="Cambria" w:hAnsi="Cambria"/>
        </w:rPr>
        <w:t xml:space="preserve"> und die </w:t>
      </w:r>
      <w:r w:rsidRPr="00204900">
        <w:rPr>
          <w:rFonts w:ascii="Cambria" w:hAnsi="Cambria"/>
          <w:b/>
        </w:rPr>
        <w:t>Definition</w:t>
      </w:r>
      <w:r w:rsidRPr="00007010">
        <w:rPr>
          <w:rFonts w:ascii="Cambria" w:hAnsi="Cambria"/>
        </w:rPr>
        <w:t xml:space="preserve"> dar.</w:t>
      </w:r>
    </w:p>
    <w:p w14:paraId="2E8247ED" w14:textId="58FC2A0E" w:rsidR="00007010" w:rsidRPr="00007010" w:rsidRDefault="00007010" w:rsidP="00204900">
      <w:pPr>
        <w:spacing w:before="60" w:after="60" w:line="240" w:lineRule="auto"/>
        <w:ind w:right="706"/>
        <w:rPr>
          <w:rFonts w:ascii="Cambria" w:hAnsi="Cambria"/>
        </w:rPr>
      </w:pPr>
      <w:r w:rsidRPr="00007010">
        <w:rPr>
          <w:rFonts w:ascii="Cambria" w:hAnsi="Cambria"/>
        </w:rPr>
        <w:t xml:space="preserve">Je genauer wir sagen, was wir meinen, um so geringer wird der Interpretationsspielraum, den unsere Formulierungen unserem Gegenüber zugestehen. </w:t>
      </w:r>
    </w:p>
    <w:p w14:paraId="570E25F0" w14:textId="77777777" w:rsidR="00007010" w:rsidRPr="00007010" w:rsidRDefault="00007010" w:rsidP="00204900">
      <w:pPr>
        <w:spacing w:before="60" w:after="60" w:line="240" w:lineRule="auto"/>
        <w:ind w:right="706"/>
        <w:rPr>
          <w:rFonts w:ascii="Cambria" w:hAnsi="Cambria"/>
        </w:rPr>
      </w:pPr>
      <w:r w:rsidRPr="00007010">
        <w:rPr>
          <w:rFonts w:ascii="Cambria" w:hAnsi="Cambria"/>
        </w:rPr>
        <w:t xml:space="preserve">Allerdings darf nicht übersehen werden, dass der Kontext, in dem bestimmte Äußerungen vorgebracht werden, aber auch das nonverbale Verhalten häufig genügend Informationen liefern, die eine etwas unklare Formulierung hinreichend präzisieren. (Disambiguierung, Monosemierung). Hier liegt aber auch einer der maßgebenden Unterschiede zwischen der mündlichen (face-to-face) und der schriftlichen Form der Kommunikation. </w:t>
      </w:r>
    </w:p>
    <w:p w14:paraId="54D25608" w14:textId="77777777" w:rsidR="00007010" w:rsidRPr="00007010" w:rsidRDefault="00007010" w:rsidP="00204900">
      <w:pPr>
        <w:spacing w:before="60" w:after="60" w:line="240" w:lineRule="auto"/>
        <w:ind w:right="706"/>
        <w:rPr>
          <w:rFonts w:ascii="Cambria" w:hAnsi="Cambria"/>
        </w:rPr>
      </w:pPr>
      <w:r w:rsidRPr="00007010">
        <w:rPr>
          <w:rFonts w:ascii="Cambria" w:hAnsi="Cambria"/>
        </w:rPr>
        <w:t xml:space="preserve">Allen Aufforderungen zur Präzisierung zum Trotz muss allerdings auch betont werden, dass es dabei stets nur um einen </w:t>
      </w:r>
      <w:r w:rsidRPr="00204900">
        <w:rPr>
          <w:rFonts w:ascii="Cambria" w:hAnsi="Cambria"/>
          <w:b/>
        </w:rPr>
        <w:t>Näherungswert</w:t>
      </w:r>
      <w:r w:rsidRPr="00007010">
        <w:rPr>
          <w:rFonts w:ascii="Cambria" w:hAnsi="Cambria"/>
        </w:rPr>
        <w:t xml:space="preserve"> gehen kann und Präzisierungen immer nur im Hinblick auf ihre Angemessenheit für eine bestimmte Kommunikationssituation beurteilt werden können. </w:t>
      </w:r>
    </w:p>
    <w:p w14:paraId="243B55B0" w14:textId="77777777" w:rsidR="00007010" w:rsidRPr="00007010" w:rsidRDefault="00007010" w:rsidP="00204900">
      <w:pPr>
        <w:spacing w:before="60" w:after="60" w:line="240" w:lineRule="auto"/>
        <w:ind w:right="706"/>
        <w:rPr>
          <w:rFonts w:ascii="Cambria" w:hAnsi="Cambria"/>
        </w:rPr>
      </w:pPr>
      <w:r w:rsidRPr="00007010">
        <w:rPr>
          <w:rFonts w:ascii="Cambria" w:hAnsi="Cambria"/>
        </w:rPr>
        <w:t>Denn, darauf macht Klaus Bayer (1999, S.84) aufmerksam, wenn er betont, man dürfe sich Formulierungen "nicht etwa als Transportbehälter vorstellen, mit denen wir Informationen aus unserem Kopf einfach in fremde Köpfe übertragen könnten. Eine Formulierung besteht aus materiellen Zeichen, aus Folgen von Luftschwingungen oder Tintenfleckchen auf Papier, die den Adressaten anregen sollen, in seinem Kopf aus den dort bereits vorhandenen Elementen einen Gedanken zu konstruieren. Welcher Gedanke dies schließlich sein wird, hängt deshalb ab von der gewählten Formulierung, ebenso aber auch von diesem im Kopf des Adressaten bereits vorhandenen Elementen und von dessen Sprachkompetenz."</w:t>
      </w:r>
    </w:p>
    <w:p w14:paraId="1353002E" w14:textId="77777777" w:rsidR="00007010" w:rsidRPr="00007010" w:rsidRDefault="00007010" w:rsidP="00204900">
      <w:pPr>
        <w:spacing w:before="60" w:after="60" w:line="240" w:lineRule="auto"/>
        <w:ind w:right="706"/>
        <w:rPr>
          <w:rFonts w:ascii="Cambria" w:hAnsi="Cambria"/>
        </w:rPr>
      </w:pPr>
      <w:r w:rsidRPr="00007010">
        <w:rPr>
          <w:rFonts w:ascii="Cambria" w:hAnsi="Cambria"/>
        </w:rPr>
        <w:t xml:space="preserve">Insbesondere in der Werbung, aber auch in der politischen Rede, finden sich zahlreiche Beispiele wie die mangelnde Präzisierung von Formulierungen eine große Zahl von Interpretationen zulässt und meistens auch zulassen soll. In der Rhetorik spricht man in diesem Zusammenhang auch von Leerformeln. </w:t>
      </w:r>
    </w:p>
    <w:p w14:paraId="723AA3DF" w14:textId="77777777" w:rsidR="00007010" w:rsidRPr="00204900" w:rsidRDefault="00007010" w:rsidP="00204900">
      <w:pPr>
        <w:spacing w:before="60" w:after="60" w:line="240" w:lineRule="auto"/>
        <w:ind w:right="706"/>
        <w:rPr>
          <w:rFonts w:ascii="Cambria" w:hAnsi="Cambria"/>
          <w:b/>
        </w:rPr>
      </w:pPr>
      <w:r w:rsidRPr="00204900">
        <w:rPr>
          <w:rFonts w:ascii="Cambria" w:hAnsi="Cambria"/>
          <w:b/>
        </w:rPr>
        <w:lastRenderedPageBreak/>
        <w:t>Beispiel</w:t>
      </w:r>
    </w:p>
    <w:p w14:paraId="4EADA6EF" w14:textId="6F88BA26" w:rsidR="00007010" w:rsidRDefault="00007010" w:rsidP="00204900">
      <w:pPr>
        <w:spacing w:before="60" w:after="60" w:line="240" w:lineRule="auto"/>
        <w:ind w:right="706"/>
        <w:rPr>
          <w:rFonts w:ascii="Cambria" w:hAnsi="Cambria"/>
          <w:b/>
        </w:rPr>
      </w:pPr>
      <w:r w:rsidRPr="00204900">
        <w:rPr>
          <w:rFonts w:ascii="Cambria" w:hAnsi="Cambria"/>
          <w:b/>
        </w:rPr>
        <w:t>Der neue Waschvollautomat XY ist besonders wirtschaftlich.</w:t>
      </w:r>
    </w:p>
    <w:p w14:paraId="6B5A2D60" w14:textId="77777777" w:rsidR="00204900" w:rsidRPr="00204900" w:rsidRDefault="00204900" w:rsidP="00204900">
      <w:pPr>
        <w:spacing w:before="60" w:after="60" w:line="240" w:lineRule="auto"/>
        <w:ind w:right="706"/>
        <w:rPr>
          <w:rFonts w:ascii="Cambria" w:hAnsi="Cambria"/>
          <w:b/>
        </w:rPr>
      </w:pPr>
    </w:p>
    <w:p w14:paraId="76EA01A7" w14:textId="47090536" w:rsidR="00007010" w:rsidRDefault="00007010" w:rsidP="00204900">
      <w:pPr>
        <w:spacing w:before="60" w:after="60" w:line="240" w:lineRule="auto"/>
        <w:ind w:right="706"/>
        <w:rPr>
          <w:rFonts w:ascii="Cambria" w:hAnsi="Cambria"/>
        </w:rPr>
      </w:pPr>
      <w:r w:rsidRPr="00007010">
        <w:rPr>
          <w:rFonts w:ascii="Cambria" w:hAnsi="Cambria"/>
        </w:rPr>
        <w:t>Diese Formulierung lässt natürlich eine Vielzahl von Interpretationen zu, z. B. die folgenden:</w:t>
      </w:r>
    </w:p>
    <w:p w14:paraId="4019B711" w14:textId="77777777" w:rsidR="00204900" w:rsidRPr="00007010" w:rsidRDefault="00204900" w:rsidP="00204900">
      <w:pPr>
        <w:spacing w:before="60" w:after="60" w:line="240" w:lineRule="auto"/>
        <w:ind w:right="706"/>
        <w:rPr>
          <w:rFonts w:ascii="Cambria" w:hAnsi="Cambria"/>
        </w:rPr>
      </w:pPr>
    </w:p>
    <w:p w14:paraId="0A4E53EA" w14:textId="77777777" w:rsidR="00007010" w:rsidRPr="00204900" w:rsidRDefault="00007010" w:rsidP="00204900">
      <w:pPr>
        <w:pStyle w:val="Listenabsatz"/>
        <w:numPr>
          <w:ilvl w:val="0"/>
          <w:numId w:val="21"/>
        </w:numPr>
        <w:spacing w:before="60" w:after="60" w:line="240" w:lineRule="auto"/>
        <w:ind w:right="706"/>
        <w:rPr>
          <w:rFonts w:ascii="Cambria" w:hAnsi="Cambria"/>
        </w:rPr>
      </w:pPr>
      <w:r w:rsidRPr="00204900">
        <w:rPr>
          <w:rFonts w:ascii="Cambria" w:hAnsi="Cambria"/>
        </w:rPr>
        <w:t xml:space="preserve">Der neue Waschvollautomat hat einen vergleichsweise besonders günstigen Preis. </w:t>
      </w:r>
    </w:p>
    <w:p w14:paraId="79F5EF60" w14:textId="77777777" w:rsidR="00007010" w:rsidRPr="00204900" w:rsidRDefault="00007010" w:rsidP="00204900">
      <w:pPr>
        <w:pStyle w:val="Listenabsatz"/>
        <w:numPr>
          <w:ilvl w:val="0"/>
          <w:numId w:val="21"/>
        </w:numPr>
        <w:spacing w:before="60" w:after="60" w:line="240" w:lineRule="auto"/>
        <w:ind w:right="706"/>
        <w:rPr>
          <w:rFonts w:ascii="Cambria" w:hAnsi="Cambria"/>
        </w:rPr>
      </w:pPr>
      <w:r w:rsidRPr="00204900">
        <w:rPr>
          <w:rFonts w:ascii="Cambria" w:hAnsi="Cambria"/>
        </w:rPr>
        <w:t xml:space="preserve">Der neue Waschvollautomat besitzt eine sehr lange Lebensdauer. </w:t>
      </w:r>
    </w:p>
    <w:p w14:paraId="6AED3EFE" w14:textId="41DFB8DF" w:rsidR="00007010" w:rsidRPr="00204900" w:rsidRDefault="00007010" w:rsidP="00204900">
      <w:pPr>
        <w:pStyle w:val="Listenabsatz"/>
        <w:numPr>
          <w:ilvl w:val="0"/>
          <w:numId w:val="21"/>
        </w:numPr>
        <w:spacing w:before="60" w:after="60" w:line="240" w:lineRule="auto"/>
        <w:ind w:right="706"/>
        <w:rPr>
          <w:rFonts w:ascii="Cambria" w:hAnsi="Cambria"/>
        </w:rPr>
      </w:pPr>
      <w:r w:rsidRPr="00204900">
        <w:rPr>
          <w:rFonts w:ascii="Cambria" w:hAnsi="Cambria"/>
        </w:rPr>
        <w:t xml:space="preserve">Der neue Waschollautomat verbraucht wenig Strom. </w:t>
      </w:r>
    </w:p>
    <w:p w14:paraId="2A967FB3" w14:textId="77777777" w:rsidR="00007010" w:rsidRPr="00204900" w:rsidRDefault="00007010" w:rsidP="00204900">
      <w:pPr>
        <w:pStyle w:val="Listenabsatz"/>
        <w:numPr>
          <w:ilvl w:val="0"/>
          <w:numId w:val="21"/>
        </w:numPr>
        <w:spacing w:before="60" w:after="60" w:line="240" w:lineRule="auto"/>
        <w:ind w:right="706"/>
        <w:rPr>
          <w:rFonts w:ascii="Cambria" w:hAnsi="Cambria"/>
        </w:rPr>
      </w:pPr>
      <w:r w:rsidRPr="00204900">
        <w:rPr>
          <w:rFonts w:ascii="Cambria" w:hAnsi="Cambria"/>
        </w:rPr>
        <w:t xml:space="preserve">Der neue Waschvollautomat verbraucht weniger Wasser als vergleichbare Geräte. </w:t>
      </w:r>
    </w:p>
    <w:p w14:paraId="6AADBF61" w14:textId="77777777" w:rsidR="00007010" w:rsidRPr="00204900" w:rsidRDefault="00007010" w:rsidP="00204900">
      <w:pPr>
        <w:pStyle w:val="Listenabsatz"/>
        <w:numPr>
          <w:ilvl w:val="0"/>
          <w:numId w:val="21"/>
        </w:numPr>
        <w:spacing w:before="60" w:after="60" w:line="240" w:lineRule="auto"/>
        <w:ind w:right="706"/>
        <w:rPr>
          <w:rFonts w:ascii="Cambria" w:hAnsi="Cambria"/>
        </w:rPr>
      </w:pPr>
      <w:r w:rsidRPr="00204900">
        <w:rPr>
          <w:rFonts w:ascii="Cambria" w:hAnsi="Cambria"/>
        </w:rPr>
        <w:t xml:space="preserve">Der neue Waschvollautomat ist recyclebar. </w:t>
      </w:r>
    </w:p>
    <w:p w14:paraId="2693E5C6" w14:textId="77777777" w:rsidR="00007010" w:rsidRPr="00204900" w:rsidRDefault="00007010" w:rsidP="00204900">
      <w:pPr>
        <w:pStyle w:val="Listenabsatz"/>
        <w:numPr>
          <w:ilvl w:val="0"/>
          <w:numId w:val="21"/>
        </w:numPr>
        <w:spacing w:before="60" w:after="60" w:line="240" w:lineRule="auto"/>
        <w:ind w:right="706"/>
        <w:rPr>
          <w:rFonts w:ascii="Cambria" w:hAnsi="Cambria"/>
        </w:rPr>
      </w:pPr>
      <w:r w:rsidRPr="00204900">
        <w:rPr>
          <w:rFonts w:ascii="Cambria" w:hAnsi="Cambria"/>
        </w:rPr>
        <w:t xml:space="preserve">Der neue Waschvollautomat besitzt eine besonders große Wäschetrommel. </w:t>
      </w:r>
    </w:p>
    <w:p w14:paraId="12E2A83C" w14:textId="77777777" w:rsidR="00007010" w:rsidRPr="00204900" w:rsidRDefault="00007010" w:rsidP="00204900">
      <w:pPr>
        <w:pStyle w:val="Listenabsatz"/>
        <w:numPr>
          <w:ilvl w:val="0"/>
          <w:numId w:val="21"/>
        </w:numPr>
        <w:spacing w:before="60" w:after="60" w:line="240" w:lineRule="auto"/>
        <w:ind w:right="706"/>
        <w:rPr>
          <w:rFonts w:ascii="Cambria" w:hAnsi="Cambria"/>
        </w:rPr>
      </w:pPr>
      <w:r w:rsidRPr="00204900">
        <w:rPr>
          <w:rFonts w:ascii="Cambria" w:hAnsi="Cambria"/>
        </w:rPr>
        <w:t xml:space="preserve">Der neue Waschvollautomat hat zahlreiche Energiesparprogramme. </w:t>
      </w:r>
    </w:p>
    <w:p w14:paraId="42782B1E" w14:textId="77777777" w:rsidR="00204900" w:rsidRDefault="00007010" w:rsidP="00204900">
      <w:pPr>
        <w:pStyle w:val="Listenabsatz"/>
        <w:numPr>
          <w:ilvl w:val="0"/>
          <w:numId w:val="21"/>
        </w:numPr>
        <w:spacing w:before="60" w:after="60" w:line="240" w:lineRule="auto"/>
        <w:ind w:right="706"/>
        <w:rPr>
          <w:rFonts w:asciiTheme="majorHAnsi" w:eastAsiaTheme="majorEastAsia" w:hAnsiTheme="majorHAnsi" w:cstheme="majorBidi"/>
          <w:bCs/>
          <w:sz w:val="20"/>
          <w:szCs w:val="20"/>
        </w:rPr>
      </w:pPr>
      <w:r w:rsidRPr="00204900">
        <w:rPr>
          <w:rFonts w:ascii="Cambria" w:hAnsi="Cambria"/>
        </w:rPr>
        <w:t xml:space="preserve">Der neue Waschvollautomat hat einen geringen Platzbedarf. etc. </w:t>
      </w:r>
      <w:r w:rsidR="00D700D9" w:rsidRPr="00204900">
        <w:rPr>
          <w:rFonts w:asciiTheme="majorHAnsi" w:eastAsiaTheme="majorEastAsia" w:hAnsiTheme="majorHAnsi" w:cstheme="majorBidi"/>
          <w:bCs/>
          <w:sz w:val="20"/>
          <w:szCs w:val="20"/>
        </w:rPr>
        <w:t xml:space="preserve">*Döring, Nicola (2012): Sexting. Fakten und Fiktionen über den Austausch erotischer Handyfotos unter </w:t>
      </w:r>
    </w:p>
    <w:p w14:paraId="1778E8F7" w14:textId="24894DBE" w:rsidR="00204900" w:rsidRPr="00204900" w:rsidRDefault="00204900" w:rsidP="00204900">
      <w:pPr>
        <w:pStyle w:val="Listenabsatz"/>
        <w:numPr>
          <w:ilvl w:val="0"/>
          <w:numId w:val="21"/>
        </w:numPr>
        <w:spacing w:before="60" w:after="60" w:line="240" w:lineRule="auto"/>
        <w:ind w:right="706"/>
        <w:rPr>
          <w:rFonts w:asciiTheme="majorHAnsi" w:eastAsiaTheme="majorEastAsia" w:hAnsiTheme="majorHAnsi" w:cstheme="majorBidi"/>
          <w:bCs/>
          <w:sz w:val="20"/>
          <w:szCs w:val="20"/>
        </w:rPr>
        <w:sectPr w:rsidR="00204900" w:rsidRPr="00204900" w:rsidSect="00204900">
          <w:type w:val="continuous"/>
          <w:pgSz w:w="11906" w:h="16838"/>
          <w:pgMar w:top="1418" w:right="1418" w:bottom="1134" w:left="1418" w:header="709" w:footer="709" w:gutter="0"/>
          <w:lnNumType w:countBy="5" w:restart="newSection"/>
          <w:cols w:space="708"/>
          <w:docGrid w:linePitch="360"/>
        </w:sectPr>
      </w:pPr>
    </w:p>
    <w:p w14:paraId="07AFA38D" w14:textId="30A94DBC" w:rsidR="00D34196" w:rsidRDefault="00D34196" w:rsidP="00204900">
      <w:pPr>
        <w:spacing w:before="60" w:after="60" w:line="240" w:lineRule="auto"/>
        <w:rPr>
          <w:rFonts w:asciiTheme="majorHAnsi" w:eastAsiaTheme="majorEastAsia" w:hAnsiTheme="majorHAnsi" w:cstheme="majorBidi"/>
          <w:b/>
          <w:bCs/>
          <w:sz w:val="24"/>
          <w:szCs w:val="24"/>
        </w:rPr>
      </w:pPr>
    </w:p>
    <w:p w14:paraId="24640483" w14:textId="77777777" w:rsidR="00BA1B4B" w:rsidRDefault="00BA1B4B" w:rsidP="008D05B1">
      <w:pPr>
        <w:spacing w:after="240" w:line="240" w:lineRule="auto"/>
        <w:rPr>
          <w:rFonts w:eastAsiaTheme="majorEastAsia" w:cstheme="majorBidi"/>
          <w:b/>
          <w:bCs/>
          <w:sz w:val="24"/>
          <w:szCs w:val="24"/>
        </w:rPr>
      </w:pPr>
    </w:p>
    <w:p w14:paraId="60ED5998" w14:textId="039FCC0F" w:rsidR="00516A9A" w:rsidRPr="00BA6142" w:rsidRDefault="00516A9A" w:rsidP="008D05B1">
      <w:pPr>
        <w:spacing w:after="240" w:line="240" w:lineRule="auto"/>
        <w:rPr>
          <w:rFonts w:eastAsiaTheme="majorEastAsia" w:cstheme="majorBidi"/>
          <w:b/>
          <w:bCs/>
          <w:sz w:val="24"/>
          <w:szCs w:val="24"/>
        </w:rPr>
      </w:pPr>
      <w:r w:rsidRPr="00BA6142">
        <w:rPr>
          <w:rFonts w:eastAsiaTheme="majorEastAsia" w:cstheme="majorBidi"/>
          <w:b/>
          <w:bCs/>
          <w:sz w:val="24"/>
          <w:szCs w:val="24"/>
        </w:rPr>
        <w:t>Arbeitsanregungen:</w:t>
      </w:r>
    </w:p>
    <w:p w14:paraId="1EB437DB" w14:textId="77777777" w:rsidR="00204900" w:rsidRPr="00204900" w:rsidRDefault="00204900" w:rsidP="00204900">
      <w:pPr>
        <w:pStyle w:val="StandardWeb"/>
        <w:numPr>
          <w:ilvl w:val="0"/>
          <w:numId w:val="22"/>
        </w:numPr>
        <w:spacing w:after="0"/>
        <w:rPr>
          <w:rFonts w:asciiTheme="minorHAnsi" w:hAnsiTheme="minorHAnsi"/>
        </w:rPr>
      </w:pPr>
      <w:r w:rsidRPr="00204900">
        <w:rPr>
          <w:rFonts w:asciiTheme="minorHAnsi" w:hAnsiTheme="minorHAnsi"/>
        </w:rPr>
        <w:t>Tragen Sie eine Liste von mindestens 10 verschiedenen Interpretationen für die folgenden Formulierungen zusammen:</w:t>
      </w:r>
    </w:p>
    <w:p w14:paraId="02CF7C38" w14:textId="77777777" w:rsidR="00204900" w:rsidRPr="00204900" w:rsidRDefault="00204900" w:rsidP="00204900">
      <w:pPr>
        <w:pStyle w:val="StandardWeb"/>
        <w:numPr>
          <w:ilvl w:val="1"/>
          <w:numId w:val="23"/>
        </w:numPr>
        <w:spacing w:after="0"/>
        <w:rPr>
          <w:rFonts w:asciiTheme="minorHAnsi" w:hAnsiTheme="minorHAnsi"/>
        </w:rPr>
      </w:pPr>
      <w:r w:rsidRPr="00204900">
        <w:rPr>
          <w:rFonts w:asciiTheme="minorHAnsi" w:hAnsiTheme="minorHAnsi"/>
        </w:rPr>
        <w:t xml:space="preserve">Bildung für alle! </w:t>
      </w:r>
    </w:p>
    <w:p w14:paraId="6CDD1189" w14:textId="77777777" w:rsidR="00204900" w:rsidRPr="00204900" w:rsidRDefault="00204900" w:rsidP="00204900">
      <w:pPr>
        <w:pStyle w:val="StandardWeb"/>
        <w:numPr>
          <w:ilvl w:val="1"/>
          <w:numId w:val="23"/>
        </w:numPr>
        <w:spacing w:after="0"/>
        <w:rPr>
          <w:rFonts w:asciiTheme="minorHAnsi" w:hAnsiTheme="minorHAnsi"/>
        </w:rPr>
      </w:pPr>
      <w:r w:rsidRPr="00204900">
        <w:rPr>
          <w:rFonts w:asciiTheme="minorHAnsi" w:hAnsiTheme="minorHAnsi"/>
        </w:rPr>
        <w:t xml:space="preserve">Freie Fahrt für freie Bürger! </w:t>
      </w:r>
    </w:p>
    <w:p w14:paraId="77F6A084" w14:textId="77777777" w:rsidR="00204900" w:rsidRPr="00204900" w:rsidRDefault="00204900" w:rsidP="00204900">
      <w:pPr>
        <w:pStyle w:val="StandardWeb"/>
        <w:numPr>
          <w:ilvl w:val="1"/>
          <w:numId w:val="23"/>
        </w:numPr>
        <w:spacing w:after="0"/>
        <w:rPr>
          <w:rFonts w:asciiTheme="minorHAnsi" w:hAnsiTheme="minorHAnsi"/>
        </w:rPr>
      </w:pPr>
      <w:r w:rsidRPr="00204900">
        <w:rPr>
          <w:rFonts w:asciiTheme="minorHAnsi" w:hAnsiTheme="minorHAnsi"/>
        </w:rPr>
        <w:t>Der neue Golf ist besonders umweltfreundlich.</w:t>
      </w:r>
    </w:p>
    <w:p w14:paraId="4B78E083" w14:textId="77777777" w:rsidR="00204900" w:rsidRPr="00204900" w:rsidRDefault="00204900" w:rsidP="00204900">
      <w:pPr>
        <w:pStyle w:val="StandardWeb"/>
        <w:numPr>
          <w:ilvl w:val="0"/>
          <w:numId w:val="22"/>
        </w:numPr>
        <w:spacing w:after="0"/>
        <w:rPr>
          <w:rFonts w:asciiTheme="minorHAnsi" w:hAnsiTheme="minorHAnsi"/>
        </w:rPr>
      </w:pPr>
      <w:r w:rsidRPr="00204900">
        <w:rPr>
          <w:rFonts w:asciiTheme="minorHAnsi" w:hAnsiTheme="minorHAnsi"/>
        </w:rPr>
        <w:t>Formulieren Sie selbst drei verschiedene sprachliche Äußerungen aus den Bereichen Politik und Werbung, die eine Reihe von Interpretationen zulassen.</w:t>
      </w:r>
    </w:p>
    <w:p w14:paraId="7749E577" w14:textId="77777777" w:rsidR="00204900" w:rsidRPr="00204900" w:rsidRDefault="00204900" w:rsidP="00204900">
      <w:pPr>
        <w:pStyle w:val="StandardWeb"/>
        <w:numPr>
          <w:ilvl w:val="0"/>
          <w:numId w:val="22"/>
        </w:numPr>
        <w:spacing w:after="0"/>
        <w:rPr>
          <w:rFonts w:asciiTheme="minorHAnsi" w:hAnsiTheme="minorHAnsi"/>
        </w:rPr>
      </w:pPr>
      <w:r w:rsidRPr="00204900">
        <w:rPr>
          <w:rFonts w:asciiTheme="minorHAnsi" w:hAnsiTheme="minorHAnsi"/>
        </w:rPr>
        <w:t>Präzisieren Sie eine dieser Formulierungen so, dass Ihnen die Gefahr von Missverständnissen besonders gering erscheint.</w:t>
      </w:r>
    </w:p>
    <w:p w14:paraId="68F50B4D" w14:textId="77777777" w:rsidR="00204900" w:rsidRPr="00204900" w:rsidRDefault="00204900" w:rsidP="00204900">
      <w:pPr>
        <w:pStyle w:val="StandardWeb"/>
        <w:numPr>
          <w:ilvl w:val="0"/>
          <w:numId w:val="22"/>
        </w:numPr>
        <w:spacing w:after="0"/>
        <w:rPr>
          <w:rFonts w:asciiTheme="minorHAnsi" w:hAnsiTheme="minorHAnsi"/>
        </w:rPr>
      </w:pPr>
      <w:r w:rsidRPr="00204900">
        <w:rPr>
          <w:rFonts w:asciiTheme="minorHAnsi" w:hAnsiTheme="minorHAnsi"/>
        </w:rPr>
        <w:t xml:space="preserve">Partnerarbeit </w:t>
      </w:r>
    </w:p>
    <w:p w14:paraId="1BBF7998" w14:textId="77777777" w:rsidR="00204900" w:rsidRPr="00204900" w:rsidRDefault="00204900" w:rsidP="00204900">
      <w:pPr>
        <w:pStyle w:val="StandardWeb"/>
        <w:numPr>
          <w:ilvl w:val="1"/>
          <w:numId w:val="24"/>
        </w:numPr>
        <w:spacing w:after="0"/>
        <w:rPr>
          <w:rFonts w:asciiTheme="minorHAnsi" w:hAnsiTheme="minorHAnsi"/>
        </w:rPr>
      </w:pPr>
      <w:r w:rsidRPr="00204900">
        <w:rPr>
          <w:rFonts w:asciiTheme="minorHAnsi" w:hAnsiTheme="minorHAnsi"/>
        </w:rPr>
        <w:t>Geben Sie diese Formulierung Ihrem Nachbarn / Ihrer Nachbarin und bitten Sie ihn/sie dazu verschiedene Interpretationen zu formulieren.</w:t>
      </w:r>
    </w:p>
    <w:p w14:paraId="1BA86FEC" w14:textId="77777777" w:rsidR="00204900" w:rsidRPr="00204900" w:rsidRDefault="00204900" w:rsidP="00204900">
      <w:pPr>
        <w:pStyle w:val="StandardWeb"/>
        <w:numPr>
          <w:ilvl w:val="1"/>
          <w:numId w:val="24"/>
        </w:numPr>
        <w:spacing w:after="0"/>
        <w:rPr>
          <w:rFonts w:asciiTheme="minorHAnsi" w:hAnsiTheme="minorHAnsi"/>
        </w:rPr>
      </w:pPr>
      <w:r w:rsidRPr="00204900">
        <w:rPr>
          <w:rFonts w:asciiTheme="minorHAnsi" w:hAnsiTheme="minorHAnsi"/>
        </w:rPr>
        <w:t>Arbeiten Sie diese Hinweise in einer weiteren Präzisierung in Ihre Formulierung ein.</w:t>
      </w:r>
    </w:p>
    <w:p w14:paraId="27DA70F3" w14:textId="77777777" w:rsidR="00204900" w:rsidRPr="00204900" w:rsidRDefault="00204900" w:rsidP="00204900">
      <w:pPr>
        <w:pStyle w:val="StandardWeb"/>
        <w:numPr>
          <w:ilvl w:val="1"/>
          <w:numId w:val="24"/>
        </w:numPr>
        <w:spacing w:after="0"/>
        <w:rPr>
          <w:rFonts w:asciiTheme="minorHAnsi" w:hAnsiTheme="minorHAnsi"/>
        </w:rPr>
      </w:pPr>
      <w:r w:rsidRPr="00204900">
        <w:rPr>
          <w:rFonts w:asciiTheme="minorHAnsi" w:hAnsiTheme="minorHAnsi"/>
        </w:rPr>
        <w:t xml:space="preserve">Tragen Sie Ihre Ergebnisse in der Klasse / im Kurs vor. </w:t>
      </w:r>
    </w:p>
    <w:p w14:paraId="1CC0A881" w14:textId="42DEE26A" w:rsidR="00C77341" w:rsidRPr="00D700D9" w:rsidRDefault="00C77341" w:rsidP="00BA1B4B">
      <w:pPr>
        <w:pStyle w:val="StandardWeb"/>
        <w:spacing w:before="0" w:beforeAutospacing="0" w:after="0" w:afterAutospacing="0"/>
        <w:ind w:left="360"/>
        <w:rPr>
          <w:rFonts w:asciiTheme="minorHAnsi" w:eastAsiaTheme="majorEastAsia" w:hAnsiTheme="minorHAnsi" w:cstheme="majorBidi"/>
          <w:bCs/>
        </w:rPr>
      </w:pPr>
    </w:p>
    <w:sectPr w:rsidR="00C77341" w:rsidRPr="00D700D9" w:rsidSect="006A4AAE">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7AB59" w14:textId="77777777" w:rsidR="00C214B4" w:rsidRDefault="00C214B4" w:rsidP="006A4AAE">
      <w:pPr>
        <w:spacing w:after="0" w:line="240" w:lineRule="auto"/>
      </w:pPr>
      <w:r>
        <w:separator/>
      </w:r>
    </w:p>
  </w:endnote>
  <w:endnote w:type="continuationSeparator" w:id="0">
    <w:p w14:paraId="700F251E" w14:textId="77777777" w:rsidR="00C214B4" w:rsidRDefault="00C214B4" w:rsidP="006A4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961FC" w14:textId="77777777" w:rsidR="006A4AAE" w:rsidRPr="00CF466F" w:rsidRDefault="006D2B03" w:rsidP="00CF466F">
    <w:pPr>
      <w:pStyle w:val="Fuzeile"/>
      <w:pBdr>
        <w:top w:val="single" w:sz="4" w:space="12" w:color="auto"/>
      </w:pBdr>
      <w:ind w:right="357"/>
      <w:rPr>
        <w:rFonts w:ascii="Cambria" w:hAnsi="Cambria"/>
        <w:szCs w:val="20"/>
      </w:rPr>
    </w:pPr>
    <w:r w:rsidRPr="006D2B03">
      <w:rPr>
        <w:noProof/>
        <w:lang w:eastAsia="de-DE"/>
      </w:rPr>
      <w:drawing>
        <wp:anchor distT="0" distB="0" distL="114300" distR="114300" simplePos="0" relativeHeight="251661312" behindDoc="0" locked="0" layoutInCell="1" allowOverlap="1" wp14:anchorId="45352F1D" wp14:editId="245D4BD2">
          <wp:simplePos x="0" y="0"/>
          <wp:positionH relativeFrom="column">
            <wp:posOffset>5129530</wp:posOffset>
          </wp:positionH>
          <wp:positionV relativeFrom="paragraph">
            <wp:posOffset>199390</wp:posOffset>
          </wp:positionV>
          <wp:extent cx="571500" cy="215900"/>
          <wp:effectExtent l="0" t="0" r="0" b="0"/>
          <wp:wrapSquare wrapText="bothSides"/>
          <wp:docPr id="6" name="Grafik 6"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2B03">
      <w:rPr>
        <w:rFonts w:ascii="Cambria" w:hAnsi="Cambria"/>
        <w:sz w:val="16"/>
        <w:szCs w:val="16"/>
      </w:rPr>
      <w:t xml:space="preserve">Autor: Gert  Egle/www.teachsam.de – </w:t>
    </w:r>
    <w:r w:rsidRPr="006D2B03">
      <w:rPr>
        <w:rFonts w:ascii="Cambria" w:hAnsi="Cambria" w:cs="Arial"/>
        <w:sz w:val="16"/>
        <w:szCs w:val="16"/>
      </w:rPr>
      <w:t xml:space="preserve">Dieses </w:t>
    </w:r>
    <w:r w:rsidR="00A30627">
      <w:rPr>
        <w:rFonts w:ascii="Cambria" w:hAnsi="Cambria" w:cs="Arial"/>
        <w:sz w:val="16"/>
        <w:szCs w:val="16"/>
      </w:rPr>
      <w:t xml:space="preserve">Werk ist lizenziert unter einer </w:t>
    </w:r>
    <w:hyperlink r:id="rId2" w:history="1">
      <w:r w:rsidRPr="006D2B03">
        <w:rPr>
          <w:rStyle w:val="Hyperlink"/>
          <w:rFonts w:ascii="Cambria" w:hAnsi="Cambria" w:cs="Arial"/>
          <w:sz w:val="16"/>
          <w:szCs w:val="16"/>
          <w:u w:val="none"/>
        </w:rPr>
        <w:t>Creative Commons Namensnennung -</w:t>
      </w:r>
      <w:r w:rsidR="00A30627">
        <w:rPr>
          <w:rStyle w:val="Hyperlink"/>
          <w:rFonts w:ascii="Cambria" w:hAnsi="Cambria" w:cs="Arial"/>
          <w:sz w:val="16"/>
          <w:szCs w:val="16"/>
          <w:u w:val="none"/>
        </w:rPr>
        <w:br/>
      </w:r>
      <w:r w:rsidRPr="006D2B03">
        <w:rPr>
          <w:rStyle w:val="Hyperlink"/>
          <w:rFonts w:ascii="Cambria" w:hAnsi="Cambria" w:cs="Arial"/>
          <w:sz w:val="16"/>
          <w:szCs w:val="16"/>
          <w:u w:val="none"/>
        </w:rPr>
        <w:t xml:space="preserve"> Weitergabe unter gleichen Bedingungen 4.0 International Lizenz</w:t>
      </w:r>
    </w:hyperlink>
    <w:r w:rsidRPr="006D2B03">
      <w:rPr>
        <w:rFonts w:ascii="Cambria" w:hAnsi="Cambria" w:cs="Arial"/>
        <w:sz w:val="16"/>
        <w:szCs w:val="16"/>
      </w:rPr>
      <w:t>.</w:t>
    </w:r>
    <w:r w:rsidR="00CF466F">
      <w:rPr>
        <w:rFonts w:ascii="Cambria" w:hAnsi="Cambria" w:cs="Helvetica Neue"/>
        <w:sz w:val="16"/>
        <w:szCs w:val="16"/>
      </w:rPr>
      <w:t xml:space="preserve">, CC-BY- SA  -  </w:t>
    </w:r>
    <w:r w:rsidRPr="006D2B03">
      <w:rPr>
        <w:rFonts w:ascii="Cambria" w:hAnsi="Cambria"/>
        <w:sz w:val="16"/>
        <w:szCs w:val="16"/>
      </w:rPr>
      <w:t xml:space="preserve">OER Logo © 2012 Jonathas Mello, </w:t>
    </w:r>
    <w:r w:rsidR="00A30627">
      <w:rPr>
        <w:rFonts w:ascii="Cambria" w:hAnsi="Cambria"/>
        <w:sz w:val="16"/>
        <w:szCs w:val="16"/>
      </w:rPr>
      <w:br/>
    </w:r>
    <w:r w:rsidRPr="006D2B03">
      <w:rPr>
        <w:rFonts w:ascii="Cambria" w:hAnsi="Cambria"/>
        <w:sz w:val="16"/>
        <w:szCs w:val="16"/>
      </w:rPr>
      <w:t>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74E77" w14:textId="77777777" w:rsidR="00C214B4" w:rsidRDefault="00C214B4" w:rsidP="006A4AAE">
      <w:pPr>
        <w:spacing w:after="0" w:line="240" w:lineRule="auto"/>
      </w:pPr>
      <w:r>
        <w:separator/>
      </w:r>
    </w:p>
  </w:footnote>
  <w:footnote w:type="continuationSeparator" w:id="0">
    <w:p w14:paraId="11493662" w14:textId="77777777" w:rsidR="00C214B4" w:rsidRDefault="00C214B4" w:rsidP="006A4A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3ED3D" w14:textId="77777777" w:rsidR="006D2B03" w:rsidRPr="006D2B03" w:rsidRDefault="00C214B4" w:rsidP="001557DE">
    <w:pPr>
      <w:pStyle w:val="Kopfzeile"/>
      <w:tabs>
        <w:tab w:val="clear" w:pos="4536"/>
        <w:tab w:val="center" w:pos="5245"/>
        <w:tab w:val="left" w:pos="6946"/>
      </w:tabs>
      <w:ind w:left="419" w:firstLine="5245"/>
      <w:rPr>
        <w:sz w:val="20"/>
        <w:szCs w:val="20"/>
      </w:rPr>
    </w:pPr>
    <w:sdt>
      <w:sdtPr>
        <w:rPr>
          <w:sz w:val="20"/>
          <w:szCs w:val="20"/>
        </w:rPr>
        <w:id w:val="-490253110"/>
        <w:docPartObj>
          <w:docPartGallery w:val="Page Numbers (Margins)"/>
          <w:docPartUnique/>
        </w:docPartObj>
      </w:sdtPr>
      <w:sdtEndPr/>
      <w:sdtContent>
        <w:r w:rsidR="00C1429F" w:rsidRPr="00C1429F">
          <w:rPr>
            <w:noProof/>
            <w:sz w:val="20"/>
            <w:szCs w:val="20"/>
            <w:lang w:eastAsia="de-DE"/>
          </w:rPr>
          <mc:AlternateContent>
            <mc:Choice Requires="wps">
              <w:drawing>
                <wp:anchor distT="0" distB="0" distL="114300" distR="114300" simplePos="0" relativeHeight="251663360" behindDoc="0" locked="0" layoutInCell="0" allowOverlap="1" wp14:anchorId="1D53BFC4" wp14:editId="30F07E39">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13DB54B3" w14:textId="77777777" w:rsidR="00C1429F" w:rsidRDefault="00C1429F">
                              <w:pPr>
                                <w:pBdr>
                                  <w:bottom w:val="single" w:sz="4" w:space="1" w:color="auto"/>
                                </w:pBdr>
                              </w:pPr>
                              <w:r>
                                <w:fldChar w:fldCharType="begin"/>
                              </w:r>
                              <w:r>
                                <w:instrText>PAGE   \* MERGEFORMAT</w:instrText>
                              </w:r>
                              <w:r>
                                <w:fldChar w:fldCharType="separate"/>
                              </w:r>
                              <w:r w:rsidR="00286C76">
                                <w:rPr>
                                  <w:noProof/>
                                </w:rPr>
                                <w:t>4</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1D53BFC4" id="Rechteck 4" o:spid="_x0000_s1026" style="position:absolute;left:0;text-align:left;margin-left:6.1pt;margin-top:0;width:57.3pt;height:25.95pt;z-index:25166336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14:paraId="13DB54B3" w14:textId="77777777" w:rsidR="00C1429F" w:rsidRDefault="00C1429F">
                        <w:pPr>
                          <w:pBdr>
                            <w:bottom w:val="single" w:sz="4" w:space="1" w:color="auto"/>
                          </w:pBdr>
                        </w:pPr>
                        <w:r>
                          <w:fldChar w:fldCharType="begin"/>
                        </w:r>
                        <w:r>
                          <w:instrText>PAGE   \* MERGEFORMAT</w:instrText>
                        </w:r>
                        <w:r>
                          <w:fldChar w:fldCharType="separate"/>
                        </w:r>
                        <w:r w:rsidR="00286C76">
                          <w:rPr>
                            <w:noProof/>
                          </w:rPr>
                          <w:t>4</w:t>
                        </w:r>
                        <w:r>
                          <w:fldChar w:fldCharType="end"/>
                        </w:r>
                      </w:p>
                    </w:txbxContent>
                  </v:textbox>
                  <w10:wrap anchorx="margin" anchory="margin"/>
                </v:rect>
              </w:pict>
            </mc:Fallback>
          </mc:AlternateContent>
        </w:r>
      </w:sdtContent>
    </w:sdt>
    <w:r w:rsidR="006D2B03" w:rsidRPr="006D2B03">
      <w:rPr>
        <w:noProof/>
        <w:sz w:val="20"/>
        <w:szCs w:val="20"/>
        <w:lang w:eastAsia="de-DE"/>
      </w:rPr>
      <w:drawing>
        <wp:anchor distT="0" distB="0" distL="114300" distR="114300" simplePos="0" relativeHeight="251659264" behindDoc="0" locked="0" layoutInCell="1" allowOverlap="1" wp14:anchorId="15271724" wp14:editId="17AF9008">
          <wp:simplePos x="0" y="0"/>
          <wp:positionH relativeFrom="column">
            <wp:posOffset>4797425</wp:posOffset>
          </wp:positionH>
          <wp:positionV relativeFrom="paragraph">
            <wp:posOffset>-169545</wp:posOffset>
          </wp:positionV>
          <wp:extent cx="897890" cy="596265"/>
          <wp:effectExtent l="0" t="0" r="0" b="0"/>
          <wp:wrapSquare wrapText="bothSides"/>
          <wp:docPr id="5"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57106D">
      <w:rPr>
        <w:sz w:val="20"/>
        <w:szCs w:val="20"/>
      </w:rPr>
      <w:t xml:space="preserve"> </w:t>
    </w:r>
    <w:r w:rsidR="006D2B03" w:rsidRPr="006D2B03">
      <w:rPr>
        <w:sz w:val="20"/>
        <w:szCs w:val="20"/>
      </w:rPr>
      <w:t>teachSam-OER 201</w:t>
    </w:r>
    <w:r w:rsidR="00C77341">
      <w:rPr>
        <w:sz w:val="20"/>
        <w:szCs w:val="20"/>
      </w:rPr>
      <w:t>8</w:t>
    </w:r>
  </w:p>
  <w:p w14:paraId="468146CE" w14:textId="77777777" w:rsidR="006A4AAE" w:rsidRPr="006A4AAE" w:rsidRDefault="006A4AAE" w:rsidP="006A4AA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5AF7"/>
    <w:multiLevelType w:val="hybridMultilevel"/>
    <w:tmpl w:val="FACE3CCA"/>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3ED3CC8"/>
    <w:multiLevelType w:val="hybridMultilevel"/>
    <w:tmpl w:val="FACE3CCA"/>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42D6671"/>
    <w:multiLevelType w:val="multilevel"/>
    <w:tmpl w:val="B96C10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8F7FF3"/>
    <w:multiLevelType w:val="hybridMultilevel"/>
    <w:tmpl w:val="E9308F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F0D5FD8"/>
    <w:multiLevelType w:val="hybridMultilevel"/>
    <w:tmpl w:val="652CD87C"/>
    <w:lvl w:ilvl="0" w:tplc="0407000F">
      <w:start w:val="1"/>
      <w:numFmt w:val="decimal"/>
      <w:lvlText w:val="%1."/>
      <w:lvlJc w:val="left"/>
      <w:pPr>
        <w:ind w:left="1080" w:hanging="360"/>
      </w:p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2DA55ECD"/>
    <w:multiLevelType w:val="hybridMultilevel"/>
    <w:tmpl w:val="493C17D6"/>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F365565"/>
    <w:multiLevelType w:val="hybridMultilevel"/>
    <w:tmpl w:val="98DE0E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04B6F41"/>
    <w:multiLevelType w:val="hybridMultilevel"/>
    <w:tmpl w:val="CD560D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2E418F1"/>
    <w:multiLevelType w:val="hybridMultilevel"/>
    <w:tmpl w:val="24C4E71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331F6FC7"/>
    <w:multiLevelType w:val="hybridMultilevel"/>
    <w:tmpl w:val="00F4D1A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36B5AE1"/>
    <w:multiLevelType w:val="multilevel"/>
    <w:tmpl w:val="57A27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0B2DD5"/>
    <w:multiLevelType w:val="hybridMultilevel"/>
    <w:tmpl w:val="6FBA909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D203D8C"/>
    <w:multiLevelType w:val="hybridMultilevel"/>
    <w:tmpl w:val="A4D63B84"/>
    <w:lvl w:ilvl="0" w:tplc="0407000F">
      <w:start w:val="1"/>
      <w:numFmt w:val="decimal"/>
      <w:lvlText w:val="%1."/>
      <w:lvlJc w:val="left"/>
      <w:pPr>
        <w:ind w:left="1080" w:hanging="360"/>
      </w:pPr>
    </w:lvl>
    <w:lvl w:ilvl="1" w:tplc="04070001">
      <w:start w:val="1"/>
      <w:numFmt w:val="bullet"/>
      <w:lvlText w:val=""/>
      <w:lvlJc w:val="left"/>
      <w:pPr>
        <w:ind w:left="1800" w:hanging="360"/>
      </w:pPr>
      <w:rPr>
        <w:rFonts w:ascii="Symbol" w:hAnsi="Symbol" w:hint="default"/>
      </w:r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15:restartNumberingAfterBreak="0">
    <w:nsid w:val="3DEA068B"/>
    <w:multiLevelType w:val="hybridMultilevel"/>
    <w:tmpl w:val="4B44EFD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0827C00"/>
    <w:multiLevelType w:val="hybridMultilevel"/>
    <w:tmpl w:val="D8DAE3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147719A"/>
    <w:multiLevelType w:val="hybridMultilevel"/>
    <w:tmpl w:val="FACE3CCA"/>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8B048D9"/>
    <w:multiLevelType w:val="hybridMultilevel"/>
    <w:tmpl w:val="BD921E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2E5565D"/>
    <w:multiLevelType w:val="hybridMultilevel"/>
    <w:tmpl w:val="F1FABD3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8EE6C9B"/>
    <w:multiLevelType w:val="multilevel"/>
    <w:tmpl w:val="9B8CE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C863E97"/>
    <w:multiLevelType w:val="hybridMultilevel"/>
    <w:tmpl w:val="B7B2DFC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6EDB1C39"/>
    <w:multiLevelType w:val="multilevel"/>
    <w:tmpl w:val="F4724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08F69B9"/>
    <w:multiLevelType w:val="hybridMultilevel"/>
    <w:tmpl w:val="630E75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1BD339D"/>
    <w:multiLevelType w:val="hybridMultilevel"/>
    <w:tmpl w:val="B53A1FEE"/>
    <w:lvl w:ilvl="0" w:tplc="0407000F">
      <w:start w:val="1"/>
      <w:numFmt w:val="decimal"/>
      <w:lvlText w:val="%1."/>
      <w:lvlJc w:val="left"/>
      <w:pPr>
        <w:ind w:left="1080" w:hanging="360"/>
      </w:pPr>
    </w:lvl>
    <w:lvl w:ilvl="1" w:tplc="04070001">
      <w:start w:val="1"/>
      <w:numFmt w:val="bullet"/>
      <w:lvlText w:val=""/>
      <w:lvlJc w:val="left"/>
      <w:pPr>
        <w:ind w:left="1800" w:hanging="360"/>
      </w:pPr>
      <w:rPr>
        <w:rFonts w:ascii="Symbol" w:hAnsi="Symbol" w:hint="default"/>
      </w:r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3" w15:restartNumberingAfterBreak="0">
    <w:nsid w:val="7E3A5783"/>
    <w:multiLevelType w:val="hybridMultilevel"/>
    <w:tmpl w:val="1B12F96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18"/>
  </w:num>
  <w:num w:numId="3">
    <w:abstractNumId w:val="13"/>
  </w:num>
  <w:num w:numId="4">
    <w:abstractNumId w:val="5"/>
  </w:num>
  <w:num w:numId="5">
    <w:abstractNumId w:val="6"/>
  </w:num>
  <w:num w:numId="6">
    <w:abstractNumId w:val="17"/>
  </w:num>
  <w:num w:numId="7">
    <w:abstractNumId w:val="9"/>
  </w:num>
  <w:num w:numId="8">
    <w:abstractNumId w:val="23"/>
  </w:num>
  <w:num w:numId="9">
    <w:abstractNumId w:val="0"/>
  </w:num>
  <w:num w:numId="10">
    <w:abstractNumId w:val="10"/>
  </w:num>
  <w:num w:numId="11">
    <w:abstractNumId w:val="1"/>
  </w:num>
  <w:num w:numId="12">
    <w:abstractNumId w:val="15"/>
  </w:num>
  <w:num w:numId="13">
    <w:abstractNumId w:val="16"/>
  </w:num>
  <w:num w:numId="14">
    <w:abstractNumId w:val="19"/>
  </w:num>
  <w:num w:numId="15">
    <w:abstractNumId w:val="3"/>
  </w:num>
  <w:num w:numId="16">
    <w:abstractNumId w:val="11"/>
  </w:num>
  <w:num w:numId="17">
    <w:abstractNumId w:val="21"/>
  </w:num>
  <w:num w:numId="18">
    <w:abstractNumId w:val="2"/>
  </w:num>
  <w:num w:numId="19">
    <w:abstractNumId w:val="20"/>
  </w:num>
  <w:num w:numId="20">
    <w:abstractNumId w:val="7"/>
  </w:num>
  <w:num w:numId="21">
    <w:abstractNumId w:val="14"/>
  </w:num>
  <w:num w:numId="22">
    <w:abstractNumId w:val="4"/>
  </w:num>
  <w:num w:numId="23">
    <w:abstractNumId w:val="12"/>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28E"/>
    <w:rsid w:val="00007010"/>
    <w:rsid w:val="000146CF"/>
    <w:rsid w:val="00024918"/>
    <w:rsid w:val="000330B6"/>
    <w:rsid w:val="00036AEC"/>
    <w:rsid w:val="000510D6"/>
    <w:rsid w:val="0009328E"/>
    <w:rsid w:val="000C3305"/>
    <w:rsid w:val="000D4BDB"/>
    <w:rsid w:val="000D677D"/>
    <w:rsid w:val="001172A5"/>
    <w:rsid w:val="00121E92"/>
    <w:rsid w:val="001557DE"/>
    <w:rsid w:val="00171226"/>
    <w:rsid w:val="00173614"/>
    <w:rsid w:val="00184E35"/>
    <w:rsid w:val="0018509D"/>
    <w:rsid w:val="001927A3"/>
    <w:rsid w:val="0019546F"/>
    <w:rsid w:val="001B3453"/>
    <w:rsid w:val="001D5EC1"/>
    <w:rsid w:val="00204900"/>
    <w:rsid w:val="00246762"/>
    <w:rsid w:val="002543B2"/>
    <w:rsid w:val="00261C93"/>
    <w:rsid w:val="00286C76"/>
    <w:rsid w:val="00291A98"/>
    <w:rsid w:val="002A556A"/>
    <w:rsid w:val="002A72CA"/>
    <w:rsid w:val="003771DF"/>
    <w:rsid w:val="0038642A"/>
    <w:rsid w:val="003869D8"/>
    <w:rsid w:val="00393D08"/>
    <w:rsid w:val="004374D0"/>
    <w:rsid w:val="0044340B"/>
    <w:rsid w:val="00444A75"/>
    <w:rsid w:val="00454E96"/>
    <w:rsid w:val="00473678"/>
    <w:rsid w:val="004741B1"/>
    <w:rsid w:val="0049511C"/>
    <w:rsid w:val="004F7C79"/>
    <w:rsid w:val="00503D71"/>
    <w:rsid w:val="00505DFC"/>
    <w:rsid w:val="00516A9A"/>
    <w:rsid w:val="00533AA7"/>
    <w:rsid w:val="00541422"/>
    <w:rsid w:val="00551D62"/>
    <w:rsid w:val="0057106D"/>
    <w:rsid w:val="00577E53"/>
    <w:rsid w:val="00594904"/>
    <w:rsid w:val="005D2252"/>
    <w:rsid w:val="005D7FBE"/>
    <w:rsid w:val="005E22D3"/>
    <w:rsid w:val="005E4330"/>
    <w:rsid w:val="00600E87"/>
    <w:rsid w:val="0064419B"/>
    <w:rsid w:val="00660BA7"/>
    <w:rsid w:val="006A2215"/>
    <w:rsid w:val="006A4AAE"/>
    <w:rsid w:val="006D2B03"/>
    <w:rsid w:val="006E16E0"/>
    <w:rsid w:val="00701B83"/>
    <w:rsid w:val="00747C4E"/>
    <w:rsid w:val="00757822"/>
    <w:rsid w:val="00790D9A"/>
    <w:rsid w:val="008D05B1"/>
    <w:rsid w:val="009076DC"/>
    <w:rsid w:val="00945115"/>
    <w:rsid w:val="0096799D"/>
    <w:rsid w:val="009B7D3E"/>
    <w:rsid w:val="009C0E93"/>
    <w:rsid w:val="00A02031"/>
    <w:rsid w:val="00A03E75"/>
    <w:rsid w:val="00A2246C"/>
    <w:rsid w:val="00A30627"/>
    <w:rsid w:val="00A632A4"/>
    <w:rsid w:val="00AC0FAE"/>
    <w:rsid w:val="00AE3B47"/>
    <w:rsid w:val="00AF2B8D"/>
    <w:rsid w:val="00AF4565"/>
    <w:rsid w:val="00B605B7"/>
    <w:rsid w:val="00B61404"/>
    <w:rsid w:val="00B65684"/>
    <w:rsid w:val="00B661F2"/>
    <w:rsid w:val="00B9194E"/>
    <w:rsid w:val="00BA16AC"/>
    <w:rsid w:val="00BA1B4B"/>
    <w:rsid w:val="00BA6142"/>
    <w:rsid w:val="00BB3449"/>
    <w:rsid w:val="00BC10B8"/>
    <w:rsid w:val="00BC535B"/>
    <w:rsid w:val="00C1429F"/>
    <w:rsid w:val="00C214B4"/>
    <w:rsid w:val="00C26924"/>
    <w:rsid w:val="00C77341"/>
    <w:rsid w:val="00CE5D3F"/>
    <w:rsid w:val="00CF466F"/>
    <w:rsid w:val="00D32CF6"/>
    <w:rsid w:val="00D34196"/>
    <w:rsid w:val="00D35961"/>
    <w:rsid w:val="00D4338B"/>
    <w:rsid w:val="00D4768E"/>
    <w:rsid w:val="00D64A30"/>
    <w:rsid w:val="00D669B0"/>
    <w:rsid w:val="00D700D9"/>
    <w:rsid w:val="00D8314E"/>
    <w:rsid w:val="00E01405"/>
    <w:rsid w:val="00E32E6A"/>
    <w:rsid w:val="00E551C5"/>
    <w:rsid w:val="00E77FA5"/>
    <w:rsid w:val="00E822AF"/>
    <w:rsid w:val="00EA246E"/>
    <w:rsid w:val="00EB4BE5"/>
    <w:rsid w:val="00EC2363"/>
    <w:rsid w:val="00EE3ED2"/>
    <w:rsid w:val="00EF1EBD"/>
    <w:rsid w:val="00F062D9"/>
    <w:rsid w:val="00F16A68"/>
    <w:rsid w:val="00FD3907"/>
    <w:rsid w:val="00FD6136"/>
    <w:rsid w:val="00FE7C80"/>
    <w:rsid w:val="00FF70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BEBF4"/>
  <w15:docId w15:val="{7EF874FB-E346-4536-928F-C6EA9B73B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D22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nhideWhenUsed/>
    <w:rsid w:val="00AF2B8D"/>
    <w:rPr>
      <w:color w:val="0000FF"/>
      <w:u w:val="single"/>
    </w:rPr>
  </w:style>
  <w:style w:type="paragraph" w:styleId="Kopfzeile">
    <w:name w:val="header"/>
    <w:basedOn w:val="Standard"/>
    <w:link w:val="KopfzeileZchn"/>
    <w:uiPriority w:val="99"/>
    <w:unhideWhenUsed/>
    <w:rsid w:val="006A4AA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4AAE"/>
  </w:style>
  <w:style w:type="paragraph" w:styleId="Fuzeile">
    <w:name w:val="footer"/>
    <w:basedOn w:val="Standard"/>
    <w:link w:val="FuzeileZchn"/>
    <w:unhideWhenUsed/>
    <w:rsid w:val="006A4AA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4AAE"/>
  </w:style>
  <w:style w:type="character" w:customStyle="1" w:styleId="berschrift1Zchn">
    <w:name w:val="Überschrift 1 Zchn"/>
    <w:basedOn w:val="Absatz-Standardschriftart"/>
    <w:link w:val="berschrift1"/>
    <w:uiPriority w:val="9"/>
    <w:rsid w:val="005D2252"/>
    <w:rPr>
      <w:rFonts w:asciiTheme="majorHAnsi" w:eastAsiaTheme="majorEastAsia" w:hAnsiTheme="majorHAnsi" w:cstheme="majorBidi"/>
      <w:b/>
      <w:bCs/>
      <w:color w:val="365F91" w:themeColor="accent1" w:themeShade="BF"/>
      <w:sz w:val="28"/>
      <w:szCs w:val="28"/>
    </w:rPr>
  </w:style>
  <w:style w:type="paragraph" w:customStyle="1" w:styleId="Titelzeile">
    <w:name w:val="Titelzeile"/>
    <w:basedOn w:val="Standard"/>
    <w:rsid w:val="00BA16AC"/>
    <w:pPr>
      <w:spacing w:before="240" w:after="0" w:line="240" w:lineRule="auto"/>
    </w:pPr>
    <w:rPr>
      <w:rFonts w:ascii="Verdana" w:eastAsia="Times New Roman" w:hAnsi="Verdana" w:cs="Times New Roman"/>
      <w:sz w:val="20"/>
      <w:szCs w:val="24"/>
      <w:lang w:eastAsia="de-DE"/>
    </w:rPr>
  </w:style>
  <w:style w:type="paragraph" w:styleId="StandardWeb">
    <w:name w:val="Normal (Web)"/>
    <w:basedOn w:val="Standard"/>
    <w:uiPriority w:val="99"/>
    <w:unhideWhenUsed/>
    <w:rsid w:val="00D64A3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AC0FAE"/>
    <w:pPr>
      <w:ind w:left="720"/>
      <w:contextualSpacing/>
    </w:pPr>
  </w:style>
  <w:style w:type="paragraph" w:styleId="Sprechblasentext">
    <w:name w:val="Balloon Text"/>
    <w:basedOn w:val="Standard"/>
    <w:link w:val="SprechblasentextZchn"/>
    <w:uiPriority w:val="99"/>
    <w:semiHidden/>
    <w:unhideWhenUsed/>
    <w:rsid w:val="00B9194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9194E"/>
    <w:rPr>
      <w:rFonts w:ascii="Tahoma" w:hAnsi="Tahoma" w:cs="Tahoma"/>
      <w:sz w:val="16"/>
      <w:szCs w:val="16"/>
    </w:rPr>
  </w:style>
  <w:style w:type="table" w:styleId="Tabellenraster">
    <w:name w:val="Table Grid"/>
    <w:basedOn w:val="NormaleTabelle"/>
    <w:uiPriority w:val="59"/>
    <w:rsid w:val="00516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basedOn w:val="Absatz-Standardschriftart"/>
    <w:uiPriority w:val="99"/>
    <w:semiHidden/>
    <w:unhideWhenUsed/>
    <w:rsid w:val="00BA6142"/>
  </w:style>
  <w:style w:type="paragraph" w:styleId="KeinLeerraum">
    <w:name w:val="No Spacing"/>
    <w:uiPriority w:val="1"/>
    <w:qFormat/>
    <w:rsid w:val="00D341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23789">
      <w:bodyDiv w:val="1"/>
      <w:marLeft w:val="0"/>
      <w:marRight w:val="0"/>
      <w:marTop w:val="0"/>
      <w:marBottom w:val="0"/>
      <w:divBdr>
        <w:top w:val="none" w:sz="0" w:space="0" w:color="auto"/>
        <w:left w:val="none" w:sz="0" w:space="0" w:color="auto"/>
        <w:bottom w:val="none" w:sz="0" w:space="0" w:color="auto"/>
        <w:right w:val="none" w:sz="0" w:space="0" w:color="auto"/>
      </w:divBdr>
      <w:divsChild>
        <w:div w:id="1459907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2002258">
      <w:bodyDiv w:val="1"/>
      <w:marLeft w:val="0"/>
      <w:marRight w:val="0"/>
      <w:marTop w:val="0"/>
      <w:marBottom w:val="0"/>
      <w:divBdr>
        <w:top w:val="none" w:sz="0" w:space="0" w:color="auto"/>
        <w:left w:val="none" w:sz="0" w:space="0" w:color="auto"/>
        <w:bottom w:val="none" w:sz="0" w:space="0" w:color="auto"/>
        <w:right w:val="none" w:sz="0" w:space="0" w:color="auto"/>
      </w:divBdr>
    </w:div>
    <w:div w:id="457063709">
      <w:bodyDiv w:val="1"/>
      <w:marLeft w:val="0"/>
      <w:marRight w:val="0"/>
      <w:marTop w:val="0"/>
      <w:marBottom w:val="0"/>
      <w:divBdr>
        <w:top w:val="none" w:sz="0" w:space="0" w:color="auto"/>
        <w:left w:val="none" w:sz="0" w:space="0" w:color="auto"/>
        <w:bottom w:val="none" w:sz="0" w:space="0" w:color="auto"/>
        <w:right w:val="none" w:sz="0" w:space="0" w:color="auto"/>
      </w:divBdr>
    </w:div>
    <w:div w:id="570115967">
      <w:bodyDiv w:val="1"/>
      <w:marLeft w:val="0"/>
      <w:marRight w:val="0"/>
      <w:marTop w:val="0"/>
      <w:marBottom w:val="0"/>
      <w:divBdr>
        <w:top w:val="none" w:sz="0" w:space="0" w:color="auto"/>
        <w:left w:val="none" w:sz="0" w:space="0" w:color="auto"/>
        <w:bottom w:val="none" w:sz="0" w:space="0" w:color="auto"/>
        <w:right w:val="none" w:sz="0" w:space="0" w:color="auto"/>
      </w:divBdr>
    </w:div>
    <w:div w:id="668677956">
      <w:bodyDiv w:val="1"/>
      <w:marLeft w:val="0"/>
      <w:marRight w:val="0"/>
      <w:marTop w:val="0"/>
      <w:marBottom w:val="0"/>
      <w:divBdr>
        <w:top w:val="none" w:sz="0" w:space="0" w:color="auto"/>
        <w:left w:val="none" w:sz="0" w:space="0" w:color="auto"/>
        <w:bottom w:val="none" w:sz="0" w:space="0" w:color="auto"/>
        <w:right w:val="none" w:sz="0" w:space="0" w:color="auto"/>
      </w:divBdr>
    </w:div>
    <w:div w:id="1226842926">
      <w:bodyDiv w:val="1"/>
      <w:marLeft w:val="0"/>
      <w:marRight w:val="0"/>
      <w:marTop w:val="0"/>
      <w:marBottom w:val="0"/>
      <w:divBdr>
        <w:top w:val="none" w:sz="0" w:space="0" w:color="auto"/>
        <w:left w:val="none" w:sz="0" w:space="0" w:color="auto"/>
        <w:bottom w:val="none" w:sz="0" w:space="0" w:color="auto"/>
        <w:right w:val="none" w:sz="0" w:space="0" w:color="auto"/>
      </w:divBdr>
      <w:divsChild>
        <w:div w:id="19829242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5053410">
      <w:bodyDiv w:val="1"/>
      <w:marLeft w:val="0"/>
      <w:marRight w:val="0"/>
      <w:marTop w:val="0"/>
      <w:marBottom w:val="0"/>
      <w:divBdr>
        <w:top w:val="none" w:sz="0" w:space="0" w:color="auto"/>
        <w:left w:val="none" w:sz="0" w:space="0" w:color="auto"/>
        <w:bottom w:val="none" w:sz="0" w:space="0" w:color="auto"/>
        <w:right w:val="none" w:sz="0" w:space="0" w:color="auto"/>
      </w:divBdr>
    </w:div>
    <w:div w:id="1822653072">
      <w:bodyDiv w:val="1"/>
      <w:marLeft w:val="0"/>
      <w:marRight w:val="0"/>
      <w:marTop w:val="0"/>
      <w:marBottom w:val="0"/>
      <w:divBdr>
        <w:top w:val="none" w:sz="0" w:space="0" w:color="auto"/>
        <w:left w:val="none" w:sz="0" w:space="0" w:color="auto"/>
        <w:bottom w:val="none" w:sz="0" w:space="0" w:color="auto"/>
        <w:right w:val="none" w:sz="0" w:space="0" w:color="auto"/>
      </w:divBdr>
      <w:divsChild>
        <w:div w:id="1456288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265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18533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9821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2810620">
      <w:bodyDiv w:val="1"/>
      <w:marLeft w:val="0"/>
      <w:marRight w:val="0"/>
      <w:marTop w:val="0"/>
      <w:marBottom w:val="0"/>
      <w:divBdr>
        <w:top w:val="none" w:sz="0" w:space="0" w:color="auto"/>
        <w:left w:val="none" w:sz="0" w:space="0" w:color="auto"/>
        <w:bottom w:val="none" w:sz="0" w:space="0" w:color="auto"/>
        <w:right w:val="none" w:sz="0" w:space="0" w:color="auto"/>
      </w:divBdr>
    </w:div>
    <w:div w:id="203537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49D7D-CAAC-4319-9259-CF40144C1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4228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KMZKN</dc:creator>
  <cp:lastModifiedBy>Gert Egle</cp:lastModifiedBy>
  <cp:revision>3</cp:revision>
  <cp:lastPrinted>2018-12-25T13:41:00Z</cp:lastPrinted>
  <dcterms:created xsi:type="dcterms:W3CDTF">2018-12-25T22:15:00Z</dcterms:created>
  <dcterms:modified xsi:type="dcterms:W3CDTF">2018-12-25T22:22:00Z</dcterms:modified>
</cp:coreProperties>
</file>