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E21" w:rsidRPr="00D86C80" w:rsidRDefault="00455063" w:rsidP="000D5E21">
      <w:pPr>
        <w:pStyle w:val="berschrift1"/>
        <w:spacing w:after="0"/>
        <w:rPr>
          <w:rFonts w:ascii="Cambria" w:hAnsi="Cambria"/>
          <w:color w:val="548DD4" w:themeColor="text2" w:themeTint="99"/>
          <w:sz w:val="22"/>
        </w:rPr>
      </w:pPr>
      <w:bookmarkStart w:id="0" w:name="_Toc30345940"/>
      <w:r>
        <w:rPr>
          <w:rFonts w:ascii="Cambria" w:hAnsi="Cambria"/>
          <w:color w:val="548DD4" w:themeColor="text2" w:themeTint="99"/>
          <w:sz w:val="22"/>
        </w:rPr>
        <w:t>Nichtpartnerschaftliches Argumentieren</w:t>
      </w:r>
    </w:p>
    <w:bookmarkEnd w:id="0"/>
    <w:p w:rsidR="00D97DC1" w:rsidRDefault="00455063" w:rsidP="00D97DC1">
      <w:pPr>
        <w:spacing w:after="120"/>
        <w:rPr>
          <w:rFonts w:asciiTheme="majorHAnsi" w:hAnsiTheme="majorHAnsi"/>
          <w:b/>
          <w:color w:val="4F81BD" w:themeColor="accent1"/>
          <w:sz w:val="32"/>
          <w:lang w:eastAsia="de-DE"/>
        </w:rPr>
      </w:pPr>
      <w:r>
        <w:rPr>
          <w:rFonts w:asciiTheme="majorHAnsi" w:hAnsiTheme="majorHAnsi"/>
          <w:b/>
          <w:color w:val="4F81BD" w:themeColor="accent1"/>
          <w:sz w:val="32"/>
          <w:lang w:eastAsia="de-DE"/>
        </w:rPr>
        <w:t>Straßensperren</w:t>
      </w:r>
      <w:r w:rsidR="006B317B">
        <w:rPr>
          <w:rFonts w:asciiTheme="majorHAnsi" w:hAnsiTheme="majorHAnsi"/>
          <w:b/>
          <w:color w:val="4F81BD" w:themeColor="accent1"/>
          <w:sz w:val="32"/>
          <w:lang w:eastAsia="de-DE"/>
        </w:rPr>
        <w:br/>
      </w:r>
      <w:r w:rsidR="006B317B" w:rsidRPr="006B317B">
        <w:rPr>
          <w:rFonts w:asciiTheme="majorHAnsi" w:hAnsiTheme="majorHAnsi"/>
          <w:b/>
          <w:color w:val="4F81BD" w:themeColor="accent1"/>
          <w:lang w:eastAsia="de-DE"/>
        </w:rPr>
        <w:t>oder: Die Sprache der Nicht-Annahme</w:t>
      </w:r>
    </w:p>
    <w:p w:rsidR="006B317B" w:rsidRPr="006B317B" w:rsidRDefault="006B317B" w:rsidP="006B317B">
      <w:pPr>
        <w:pStyle w:val="StandardWeb"/>
        <w:rPr>
          <w:rFonts w:asciiTheme="majorHAnsi" w:eastAsiaTheme="minorHAnsi" w:hAnsiTheme="majorHAnsi" w:cstheme="minorBidi"/>
          <w:sz w:val="22"/>
          <w:szCs w:val="22"/>
        </w:rPr>
      </w:pPr>
      <w:r w:rsidRPr="006B317B">
        <w:rPr>
          <w:rFonts w:asciiTheme="majorHAnsi" w:eastAsiaTheme="minorHAnsi" w:hAnsiTheme="majorHAnsi" w:cstheme="minorBidi"/>
          <w:sz w:val="22"/>
          <w:szCs w:val="22"/>
        </w:rPr>
        <w:t>Nichtpartnerschaftliches Argumentieren zeigt sich auch in Form so genannter "Straßensperren". Der Begriff geht auf das von  »Thomas Gordon (1918-2002) auf der Grundlage der »humanistischen Psychologie von »Carl Rogers (1902-1987) entwickelte Universal-Modell zur Konfliktlösung im Alltag zurück.</w:t>
      </w:r>
      <w:r>
        <w:rPr>
          <w:rFonts w:asciiTheme="majorHAnsi" w:eastAsiaTheme="minorHAnsi" w:hAnsiTheme="majorHAnsi" w:cstheme="minorBidi"/>
          <w:sz w:val="22"/>
          <w:szCs w:val="22"/>
        </w:rPr>
        <w:t xml:space="preserve"> </w:t>
      </w:r>
      <w:r>
        <w:rPr>
          <w:rFonts w:asciiTheme="majorHAnsi" w:eastAsiaTheme="minorHAnsi" w:hAnsiTheme="majorHAnsi" w:cstheme="minorBidi"/>
          <w:sz w:val="22"/>
          <w:szCs w:val="22"/>
        </w:rPr>
        <w:br/>
      </w:r>
      <w:r w:rsidRPr="006B317B">
        <w:rPr>
          <w:rFonts w:asciiTheme="majorHAnsi" w:eastAsiaTheme="minorHAnsi" w:hAnsiTheme="majorHAnsi" w:cstheme="minorBidi"/>
          <w:sz w:val="22"/>
          <w:szCs w:val="22"/>
        </w:rPr>
        <w:t>Darin bezeichnet Gordon bestimmte Kommunikationssperren als "Straßensperren" einer "Sprache der Nicht-Annahme".</w:t>
      </w:r>
      <w:r>
        <w:rPr>
          <w:rFonts w:asciiTheme="majorHAnsi" w:eastAsiaTheme="minorHAnsi" w:hAnsiTheme="majorHAnsi" w:cstheme="minorBidi"/>
          <w:sz w:val="22"/>
          <w:szCs w:val="22"/>
        </w:rPr>
        <w:t xml:space="preserve"> </w:t>
      </w:r>
      <w:r w:rsidRPr="006B317B">
        <w:rPr>
          <w:rFonts w:asciiTheme="majorHAnsi" w:eastAsiaTheme="minorHAnsi" w:hAnsiTheme="majorHAnsi" w:cstheme="minorBidi"/>
          <w:sz w:val="22"/>
          <w:szCs w:val="22"/>
        </w:rPr>
        <w:t xml:space="preserve">Mit der Sprache der Nicht-Annahme soll dem Gegenüber mitgeteilt werden, </w:t>
      </w:r>
      <w:bookmarkStart w:id="1" w:name="_GoBack"/>
      <w:bookmarkEnd w:id="1"/>
    </w:p>
    <w:p w:rsidR="006B317B" w:rsidRPr="006B317B" w:rsidRDefault="006B317B" w:rsidP="006B317B">
      <w:pPr>
        <w:pStyle w:val="StandardWeb"/>
        <w:numPr>
          <w:ilvl w:val="0"/>
          <w:numId w:val="15"/>
        </w:numPr>
        <w:rPr>
          <w:rFonts w:asciiTheme="majorHAnsi" w:eastAsiaTheme="minorHAnsi" w:hAnsiTheme="majorHAnsi" w:cstheme="minorBidi"/>
          <w:sz w:val="22"/>
          <w:szCs w:val="22"/>
        </w:rPr>
      </w:pPr>
      <w:r w:rsidRPr="006B317B">
        <w:rPr>
          <w:rFonts w:asciiTheme="majorHAnsi" w:eastAsiaTheme="minorHAnsi" w:hAnsiTheme="majorHAnsi" w:cstheme="minorBidi"/>
          <w:sz w:val="22"/>
          <w:szCs w:val="22"/>
        </w:rPr>
        <w:t xml:space="preserve">dass etwas mit ihm nicht in Ordnung ist, </w:t>
      </w:r>
    </w:p>
    <w:p w:rsidR="006B317B" w:rsidRPr="006B317B" w:rsidRDefault="006B317B" w:rsidP="006B317B">
      <w:pPr>
        <w:pStyle w:val="StandardWeb"/>
        <w:numPr>
          <w:ilvl w:val="0"/>
          <w:numId w:val="15"/>
        </w:numPr>
        <w:rPr>
          <w:rFonts w:asciiTheme="majorHAnsi" w:eastAsiaTheme="minorHAnsi" w:hAnsiTheme="majorHAnsi" w:cstheme="minorBidi"/>
          <w:sz w:val="22"/>
          <w:szCs w:val="22"/>
        </w:rPr>
      </w:pPr>
      <w:r w:rsidRPr="006B317B">
        <w:rPr>
          <w:rFonts w:asciiTheme="majorHAnsi" w:eastAsiaTheme="minorHAnsi" w:hAnsiTheme="majorHAnsi" w:cstheme="minorBidi"/>
          <w:sz w:val="22"/>
          <w:szCs w:val="22"/>
        </w:rPr>
        <w:t xml:space="preserve">dass er sich ändern muss und </w:t>
      </w:r>
    </w:p>
    <w:p w:rsidR="006B317B" w:rsidRPr="006B317B" w:rsidRDefault="006B317B" w:rsidP="006B317B">
      <w:pPr>
        <w:pStyle w:val="StandardWeb"/>
        <w:numPr>
          <w:ilvl w:val="0"/>
          <w:numId w:val="15"/>
        </w:numPr>
        <w:rPr>
          <w:rFonts w:asciiTheme="majorHAnsi" w:eastAsiaTheme="minorHAnsi" w:hAnsiTheme="majorHAnsi" w:cstheme="minorBidi"/>
          <w:sz w:val="22"/>
          <w:szCs w:val="22"/>
        </w:rPr>
      </w:pPr>
      <w:r w:rsidRPr="006B317B">
        <w:rPr>
          <w:rFonts w:asciiTheme="majorHAnsi" w:eastAsiaTheme="minorHAnsi" w:hAnsiTheme="majorHAnsi" w:cstheme="minorBidi"/>
          <w:sz w:val="22"/>
          <w:szCs w:val="22"/>
        </w:rPr>
        <w:t xml:space="preserve">dass das konkrete Problem, das er gerade vorgebracht hat, eigentlich unwichtig ist. </w:t>
      </w:r>
    </w:p>
    <w:p w:rsidR="006B317B" w:rsidRPr="006B317B" w:rsidRDefault="006B317B" w:rsidP="006B317B">
      <w:pPr>
        <w:pStyle w:val="StandardWeb"/>
        <w:rPr>
          <w:rFonts w:asciiTheme="majorHAnsi" w:eastAsiaTheme="minorHAnsi" w:hAnsiTheme="majorHAnsi" w:cstheme="minorBidi"/>
          <w:sz w:val="22"/>
          <w:szCs w:val="22"/>
        </w:rPr>
      </w:pPr>
      <w:r w:rsidRPr="006B317B">
        <w:rPr>
          <w:rFonts w:asciiTheme="majorHAnsi" w:eastAsiaTheme="minorHAnsi" w:hAnsiTheme="majorHAnsi" w:cstheme="minorBidi"/>
          <w:sz w:val="22"/>
          <w:szCs w:val="22"/>
        </w:rPr>
        <w:t>Auch im Rahmen von Interaktionen und Kommunikationshandlungen von Lehrpersonen und Schülern kann das Lehrerverhalten von der Sprache der Nicht-Annahme gekennzeichnet sein. Dabei werden meistens direktiv gestaltete Formulierungen verwendet.</w:t>
      </w:r>
    </w:p>
    <w:p w:rsidR="00FD629F" w:rsidRDefault="006B317B" w:rsidP="006B317B">
      <w:pPr>
        <w:pStyle w:val="StandardWeb"/>
        <w:rPr>
          <w:rFonts w:ascii="Arial" w:hAnsi="Arial" w:cs="Arial"/>
          <w:sz w:val="20"/>
          <w:szCs w:val="20"/>
        </w:rPr>
      </w:pPr>
      <w:r w:rsidRPr="006B317B">
        <w:rPr>
          <w:rFonts w:asciiTheme="majorHAnsi" w:eastAsiaTheme="minorHAnsi" w:hAnsiTheme="majorHAnsi" w:cstheme="minorBidi"/>
          <w:sz w:val="22"/>
          <w:szCs w:val="22"/>
        </w:rPr>
        <w:t>Die nachfolgende Liste zeigt entsprechende Sprachhandlungen auf und verweist auf entsprechende Beispiel.</w:t>
      </w:r>
    </w:p>
    <w:tbl>
      <w:tblPr>
        <w:tblW w:w="5000" w:type="pct"/>
        <w:jc w:val="center"/>
        <w:tblBorders>
          <w:top w:val="outset" w:sz="2" w:space="0" w:color="auto"/>
          <w:left w:val="outset" w:sz="2"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722"/>
        <w:gridCol w:w="2745"/>
        <w:gridCol w:w="5551"/>
      </w:tblGrid>
      <w:tr w:rsidR="00FD629F" w:rsidTr="006B317B">
        <w:trPr>
          <w:jc w:val="center"/>
        </w:trPr>
        <w:tc>
          <w:tcPr>
            <w:tcW w:w="400" w:type="pct"/>
            <w:tcBorders>
              <w:top w:val="nil"/>
              <w:left w:val="nil"/>
              <w:bottom w:val="outset" w:sz="6" w:space="0" w:color="auto"/>
              <w:right w:val="outset" w:sz="6" w:space="0" w:color="auto"/>
            </w:tcBorders>
            <w:hideMark/>
          </w:tcPr>
          <w:p w:rsidR="00FD629F" w:rsidRPr="00FD629F" w:rsidRDefault="00FD629F" w:rsidP="006B317B">
            <w:pPr>
              <w:spacing w:before="240"/>
              <w:jc w:val="center"/>
              <w:rPr>
                <w:rFonts w:cs="Arial"/>
                <w:color w:val="000000"/>
                <w:sz w:val="20"/>
                <w:szCs w:val="20"/>
              </w:rPr>
            </w:pPr>
            <w:r w:rsidRPr="00FD629F">
              <w:rPr>
                <w:rFonts w:cs="Arial"/>
                <w:color w:val="000000"/>
                <w:sz w:val="20"/>
                <w:szCs w:val="20"/>
              </w:rPr>
              <w:t> </w:t>
            </w:r>
          </w:p>
        </w:tc>
        <w:tc>
          <w:tcPr>
            <w:tcW w:w="1522" w:type="pct"/>
            <w:tcBorders>
              <w:top w:val="outset" w:sz="6" w:space="0" w:color="C0C0C0"/>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b/>
                <w:bCs/>
                <w:color w:val="000000"/>
                <w:szCs w:val="20"/>
              </w:rPr>
              <w:t>Kommunikations-/</w:t>
            </w:r>
            <w:r w:rsidR="00135056">
              <w:rPr>
                <w:rFonts w:asciiTheme="majorHAnsi" w:hAnsiTheme="majorHAnsi" w:cs="Arial"/>
                <w:b/>
                <w:bCs/>
                <w:color w:val="000000"/>
                <w:szCs w:val="20"/>
              </w:rPr>
              <w:t xml:space="preserve"> </w:t>
            </w:r>
            <w:r w:rsidR="006B317B">
              <w:rPr>
                <w:rFonts w:asciiTheme="majorHAnsi" w:hAnsiTheme="majorHAnsi" w:cs="Arial"/>
                <w:b/>
                <w:bCs/>
                <w:color w:val="000000"/>
                <w:szCs w:val="20"/>
              </w:rPr>
              <w:br/>
            </w:r>
            <w:r w:rsidRPr="00135056">
              <w:rPr>
                <w:rFonts w:asciiTheme="majorHAnsi" w:hAnsiTheme="majorHAnsi" w:cs="Arial"/>
                <w:b/>
                <w:bCs/>
                <w:color w:val="000000"/>
                <w:szCs w:val="20"/>
              </w:rPr>
              <w:t>"Straßensperre"</w:t>
            </w:r>
          </w:p>
        </w:tc>
        <w:tc>
          <w:tcPr>
            <w:tcW w:w="3078" w:type="pct"/>
            <w:tcBorders>
              <w:top w:val="outset" w:sz="6" w:space="0" w:color="C0C0C0"/>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b/>
                <w:bCs/>
                <w:color w:val="000000"/>
                <w:szCs w:val="20"/>
              </w:rPr>
              <w:t>Beispiel</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jc w:val="center"/>
              <w:rPr>
                <w:rFonts w:cs="Arial"/>
                <w:color w:val="000000"/>
                <w:szCs w:val="20"/>
              </w:rPr>
            </w:pPr>
            <w:r w:rsidRPr="00135056">
              <w:rPr>
                <w:rFonts w:cs="Arial"/>
                <w:b/>
                <w:bCs/>
                <w:color w:val="000000"/>
                <w:szCs w:val="20"/>
              </w:rPr>
              <w:t>1</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befehlen, kommandieren, anordnen, auffordern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2"/>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"Hör' endlich auf dich selbst zu bemitleiden, strenge dich einfach an."</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after="0"/>
              <w:jc w:val="center"/>
              <w:rPr>
                <w:rFonts w:cs="Arial"/>
                <w:color w:val="000000"/>
                <w:szCs w:val="20"/>
              </w:rPr>
            </w:pPr>
            <w:r w:rsidRPr="00135056">
              <w:rPr>
                <w:rFonts w:cs="Arial"/>
                <w:b/>
                <w:bCs/>
                <w:color w:val="000000"/>
                <w:szCs w:val="20"/>
              </w:rPr>
              <w:t>2</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warnen, mahnen, drohen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3"/>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"Wenn du so weitermachst, darfst du dich nicht wundern, wenn du nicht versetzt wirst."</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after="0"/>
              <w:jc w:val="center"/>
              <w:rPr>
                <w:rFonts w:cs="Arial"/>
                <w:color w:val="000000"/>
                <w:szCs w:val="20"/>
              </w:rPr>
            </w:pPr>
            <w:r w:rsidRPr="00135056">
              <w:rPr>
                <w:rFonts w:cs="Arial"/>
                <w:b/>
                <w:bCs/>
                <w:color w:val="000000"/>
                <w:szCs w:val="20"/>
              </w:rPr>
              <w:t>3</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moralisieren, predigen, beschwören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4"/>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"Was Hänschen nicht lernt, lernt Hans nimmermehr. - So ist das!"</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after="0"/>
              <w:jc w:val="center"/>
              <w:rPr>
                <w:rFonts w:cs="Arial"/>
                <w:color w:val="000000"/>
                <w:szCs w:val="20"/>
              </w:rPr>
            </w:pPr>
            <w:r w:rsidRPr="00135056">
              <w:rPr>
                <w:rFonts w:cs="Arial"/>
                <w:b/>
                <w:bCs/>
                <w:color w:val="000000"/>
                <w:szCs w:val="20"/>
              </w:rPr>
              <w:t>4</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verurteilen, kritisieren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5"/>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"Du bist einfach zu faul, mit dieser Einstellung kommst du nicht weiter!"</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after="0"/>
              <w:jc w:val="center"/>
              <w:rPr>
                <w:rFonts w:cs="Arial"/>
                <w:color w:val="000000"/>
                <w:szCs w:val="20"/>
              </w:rPr>
            </w:pPr>
            <w:r w:rsidRPr="00135056">
              <w:rPr>
                <w:rFonts w:cs="Arial"/>
                <w:b/>
                <w:bCs/>
                <w:color w:val="000000"/>
                <w:szCs w:val="20"/>
              </w:rPr>
              <w:t>5</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beschimpfen. lächerlich machen, beschämen, Klischees verwenden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6"/>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"Bist du wirklich so dämlich oder machst du nur so?"</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after="0"/>
              <w:jc w:val="center"/>
              <w:rPr>
                <w:rFonts w:cs="Arial"/>
                <w:color w:val="000000"/>
                <w:szCs w:val="20"/>
              </w:rPr>
            </w:pPr>
            <w:r w:rsidRPr="00135056">
              <w:rPr>
                <w:rFonts w:cs="Arial"/>
                <w:b/>
                <w:bCs/>
                <w:color w:val="000000"/>
                <w:szCs w:val="20"/>
              </w:rPr>
              <w:lastRenderedPageBreak/>
              <w:t>6</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interpretieren, analysieren,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7"/>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"Du tust doch nur so, als ob du das nicht verstanden hast."</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after="0"/>
              <w:jc w:val="center"/>
              <w:rPr>
                <w:rFonts w:cs="Arial"/>
                <w:color w:val="000000"/>
                <w:szCs w:val="20"/>
              </w:rPr>
            </w:pPr>
            <w:r w:rsidRPr="00135056">
              <w:rPr>
                <w:rFonts w:cs="Arial"/>
                <w:b/>
                <w:bCs/>
                <w:color w:val="000000"/>
                <w:szCs w:val="20"/>
              </w:rPr>
              <w:t>7</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verhören, sondieren, forschen,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8"/>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"Gibt einen wirklich vernünftigen Grund dafür, dass du den Text nicht zu Ende geschrieben hast?"</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after="0"/>
              <w:jc w:val="center"/>
              <w:rPr>
                <w:rFonts w:cs="Arial"/>
                <w:color w:val="000000"/>
                <w:szCs w:val="20"/>
              </w:rPr>
            </w:pPr>
            <w:r w:rsidRPr="00135056">
              <w:rPr>
                <w:rFonts w:cs="Arial"/>
                <w:b/>
                <w:bCs/>
                <w:color w:val="000000"/>
                <w:szCs w:val="20"/>
              </w:rPr>
              <w:t>8</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belehren, logisch argumentieren, Vorträge halten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9"/>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"Die Sache ist doch so. Zuerst hast du gemeint, es liege daran, dass du keine Zeit gehabt hast, dann sagst du, es sei dir einfach zu schwer gewesen, dann hast du das Buch vergessen und ..."</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after="0"/>
              <w:jc w:val="center"/>
              <w:rPr>
                <w:rFonts w:cs="Arial"/>
                <w:color w:val="000000"/>
                <w:szCs w:val="20"/>
              </w:rPr>
            </w:pPr>
            <w:r w:rsidRPr="00135056">
              <w:rPr>
                <w:rFonts w:cs="Arial"/>
                <w:b/>
                <w:bCs/>
                <w:color w:val="000000"/>
                <w:szCs w:val="20"/>
              </w:rPr>
              <w:t>9</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loben, zustimmen, schmeicheln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10"/>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"Du bist doch ein intelligenter Bursche, da kann dir das doch nicht entgangen sein, dass heute eine Klausur angesetzt ist."</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after="0"/>
              <w:jc w:val="center"/>
              <w:rPr>
                <w:rFonts w:cs="Arial"/>
                <w:color w:val="000000"/>
                <w:szCs w:val="20"/>
              </w:rPr>
            </w:pPr>
            <w:r w:rsidRPr="00135056">
              <w:rPr>
                <w:rFonts w:cs="Arial"/>
                <w:b/>
                <w:bCs/>
                <w:color w:val="000000"/>
                <w:szCs w:val="20"/>
              </w:rPr>
              <w:t>10</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beruhigen, mitfühlen, trösten, aufrichten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11"/>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"Mach' dir nichts d'raus. Ich habe in Mathe auch meistens keinen blassen Schimmer gehabt und bin doch Lehrer geworden."</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after="0"/>
              <w:jc w:val="center"/>
              <w:rPr>
                <w:rFonts w:cs="Arial"/>
                <w:color w:val="000000"/>
                <w:szCs w:val="20"/>
              </w:rPr>
            </w:pPr>
            <w:r w:rsidRPr="00135056">
              <w:rPr>
                <w:rFonts w:cs="Arial"/>
                <w:b/>
                <w:bCs/>
                <w:color w:val="000000"/>
                <w:szCs w:val="20"/>
              </w:rPr>
              <w:t>11</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Lösung anbieten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12"/>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"Hier gibts nur eines: Wenn du besser aufpasst, wirst du auch Erfolg haben."</w:t>
            </w:r>
          </w:p>
        </w:tc>
      </w:tr>
      <w:tr w:rsidR="00FD629F" w:rsidTr="006B317B">
        <w:trPr>
          <w:jc w:val="center"/>
        </w:trPr>
        <w:tc>
          <w:tcPr>
            <w:tcW w:w="400" w:type="pct"/>
            <w:tcBorders>
              <w:top w:val="outset" w:sz="6" w:space="0" w:color="auto"/>
              <w:left w:val="outset" w:sz="6" w:space="0" w:color="C0C0C0"/>
              <w:bottom w:val="outset" w:sz="6" w:space="0" w:color="auto"/>
              <w:right w:val="outset" w:sz="6" w:space="0" w:color="auto"/>
            </w:tcBorders>
            <w:hideMark/>
          </w:tcPr>
          <w:p w:rsidR="00FD629F" w:rsidRPr="00135056" w:rsidRDefault="00FD629F" w:rsidP="006B317B">
            <w:pPr>
              <w:spacing w:before="240" w:after="0"/>
              <w:jc w:val="center"/>
              <w:rPr>
                <w:rFonts w:cs="Arial"/>
                <w:color w:val="000000"/>
                <w:szCs w:val="20"/>
              </w:rPr>
            </w:pPr>
            <w:r w:rsidRPr="00135056">
              <w:rPr>
                <w:rFonts w:cs="Arial"/>
                <w:b/>
                <w:bCs/>
                <w:color w:val="000000"/>
                <w:szCs w:val="20"/>
              </w:rPr>
              <w:t>12</w:t>
            </w:r>
          </w:p>
        </w:tc>
        <w:tc>
          <w:tcPr>
            <w:tcW w:w="1522"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spacing w:before="240"/>
              <w:rPr>
                <w:rFonts w:asciiTheme="majorHAnsi" w:hAnsiTheme="majorHAnsi" w:cs="Arial"/>
                <w:color w:val="000000"/>
                <w:szCs w:val="20"/>
              </w:rPr>
            </w:pPr>
            <w:r w:rsidRPr="00135056">
              <w:rPr>
                <w:rFonts w:asciiTheme="majorHAnsi" w:hAnsiTheme="majorHAnsi" w:cs="Arial"/>
                <w:color w:val="000000"/>
                <w:szCs w:val="20"/>
              </w:rPr>
              <w:t>ablenken, sarkastisch sein, ausweichen, aufziehen</w:t>
            </w:r>
          </w:p>
        </w:tc>
        <w:tc>
          <w:tcPr>
            <w:tcW w:w="3078" w:type="pct"/>
            <w:tcBorders>
              <w:top w:val="outset" w:sz="6" w:space="0" w:color="auto"/>
              <w:left w:val="outset" w:sz="6" w:space="0" w:color="auto"/>
              <w:bottom w:val="outset" w:sz="6" w:space="0" w:color="auto"/>
              <w:right w:val="outset" w:sz="6" w:space="0" w:color="auto"/>
            </w:tcBorders>
            <w:hideMark/>
          </w:tcPr>
          <w:p w:rsidR="00FD629F" w:rsidRPr="00135056" w:rsidRDefault="00FD629F" w:rsidP="006B317B">
            <w:pPr>
              <w:numPr>
                <w:ilvl w:val="0"/>
                <w:numId w:val="13"/>
              </w:numPr>
              <w:tabs>
                <w:tab w:val="clear" w:pos="720"/>
                <w:tab w:val="num" w:pos="353"/>
              </w:tabs>
              <w:spacing w:before="240" w:after="100" w:afterAutospacing="1" w:line="240" w:lineRule="auto"/>
              <w:ind w:left="353" w:hanging="283"/>
              <w:rPr>
                <w:rFonts w:asciiTheme="majorHAnsi" w:hAnsiTheme="majorHAnsi" w:cs="Arial"/>
                <w:color w:val="000000"/>
                <w:szCs w:val="20"/>
              </w:rPr>
            </w:pPr>
            <w:r w:rsidRPr="00135056">
              <w:rPr>
                <w:rFonts w:asciiTheme="majorHAnsi" w:hAnsiTheme="majorHAnsi" w:cs="Arial"/>
                <w:color w:val="000000"/>
                <w:szCs w:val="20"/>
              </w:rPr>
              <w:t>"Vergiss es, du bist halt heute nicht besonders gut drauf, nicht?"</w:t>
            </w:r>
          </w:p>
        </w:tc>
      </w:tr>
    </w:tbl>
    <w:p w:rsidR="00A46EC3" w:rsidRDefault="00A46EC3" w:rsidP="00E50B60">
      <w:pPr>
        <w:spacing w:after="0"/>
        <w:rPr>
          <w:b/>
        </w:rPr>
      </w:pPr>
    </w:p>
    <w:p w:rsidR="00BC5D52" w:rsidRDefault="00BC5D52" w:rsidP="00E50B60">
      <w:pPr>
        <w:spacing w:after="0"/>
        <w:rPr>
          <w:b/>
        </w:rPr>
      </w:pPr>
    </w:p>
    <w:p w:rsidR="00D86C80" w:rsidRDefault="00D86C80" w:rsidP="00E50B60">
      <w:pPr>
        <w:spacing w:after="0"/>
        <w:rPr>
          <w:b/>
        </w:rPr>
      </w:pPr>
      <w:r w:rsidRPr="009E3850">
        <w:rPr>
          <w:b/>
        </w:rPr>
        <w:t>Arbeitsanregungen:</w:t>
      </w:r>
    </w:p>
    <w:p w:rsidR="00BC5D52" w:rsidRPr="009E3850" w:rsidRDefault="00BC5D52" w:rsidP="00E50B60">
      <w:pPr>
        <w:spacing w:after="0"/>
        <w:rPr>
          <w:b/>
        </w:rPr>
      </w:pPr>
    </w:p>
    <w:p w:rsidR="00D97DC1" w:rsidRDefault="00135056" w:rsidP="00135056">
      <w:pPr>
        <w:numPr>
          <w:ilvl w:val="0"/>
          <w:numId w:val="1"/>
        </w:numPr>
        <w:spacing w:after="0" w:line="240" w:lineRule="auto"/>
      </w:pPr>
      <w:r>
        <w:t>Welchen der „Straßensperren“ sind Sie in Schule und Alltag schon begegnet?</w:t>
      </w:r>
    </w:p>
    <w:p w:rsidR="00DE0CD4" w:rsidRDefault="00135056" w:rsidP="00135056">
      <w:pPr>
        <w:numPr>
          <w:ilvl w:val="0"/>
          <w:numId w:val="1"/>
        </w:numPr>
        <w:spacing w:after="0" w:line="240" w:lineRule="auto"/>
      </w:pPr>
      <w:r>
        <w:t>Berichten Sie von Ihren Erlebnissen und Gefühlen.</w:t>
      </w:r>
    </w:p>
    <w:p w:rsidR="00705291" w:rsidRDefault="00705291" w:rsidP="00135056">
      <w:pPr>
        <w:numPr>
          <w:ilvl w:val="0"/>
          <w:numId w:val="1"/>
        </w:numPr>
        <w:spacing w:after="0" w:line="240" w:lineRule="auto"/>
      </w:pPr>
      <w:r>
        <w:t>Welche weiteren Beispiele fallen Ihnen ein?</w:t>
      </w:r>
    </w:p>
    <w:sectPr w:rsidR="00705291" w:rsidSect="00A204EF">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B21" w:rsidRPr="009E3F49" w:rsidRDefault="00DE0AE1" w:rsidP="00897B21">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1644342217"/>
        <w:docPartObj>
          <w:docPartGallery w:val="Page Numbers (Margins)"/>
          <w:docPartUnique/>
        </w:docPartObj>
      </w:sdtPr>
      <w:sdtEndPr/>
      <w:sdtContent>
        <w:r w:rsidR="00BC5D52" w:rsidRPr="00BC5D52">
          <w:rPr>
            <w:rFonts w:asciiTheme="majorHAnsi" w:hAnsiTheme="majorHAnsi"/>
            <w:noProof/>
            <w:sz w:val="20"/>
            <w:lang w:eastAsia="de-DE"/>
          </w:rPr>
          <mc:AlternateContent>
            <mc:Choice Requires="wps">
              <w:drawing>
                <wp:anchor distT="0" distB="0" distL="114300" distR="114300" simplePos="0" relativeHeight="251660800"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D52" w:rsidRDefault="00BC5D52">
                              <w:pPr>
                                <w:pBdr>
                                  <w:bottom w:val="single" w:sz="4" w:space="1" w:color="auto"/>
                                </w:pBdr>
                              </w:pPr>
                              <w:r>
                                <w:fldChar w:fldCharType="begin"/>
                              </w:r>
                              <w:r>
                                <w:instrText>PAGE   \* MERGEFORMAT</w:instrText>
                              </w:r>
                              <w:r>
                                <w:fldChar w:fldCharType="separate"/>
                              </w:r>
                              <w:r w:rsidR="00705291">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 o:spid="_x0000_s1026" style="position:absolute;left:0;text-align:left;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w:txbxContent>
                      <w:p w:rsidR="00BC5D52" w:rsidRDefault="00BC5D52">
                        <w:pPr>
                          <w:pBdr>
                            <w:bottom w:val="single" w:sz="4" w:space="1" w:color="auto"/>
                          </w:pBdr>
                        </w:pPr>
                        <w:r>
                          <w:fldChar w:fldCharType="begin"/>
                        </w:r>
                        <w:r>
                          <w:instrText>PAGE   \* MERGEFORMAT</w:instrText>
                        </w:r>
                        <w:r>
                          <w:fldChar w:fldCharType="separate"/>
                        </w:r>
                        <w:r w:rsidR="00705291">
                          <w:rPr>
                            <w:noProof/>
                          </w:rPr>
                          <w:t>1</w:t>
                        </w:r>
                        <w:r>
                          <w:fldChar w:fldCharType="end"/>
                        </w:r>
                      </w:p>
                    </w:txbxContent>
                  </v:textbox>
                  <w10:wrap anchorx="margin" anchory="margin"/>
                </v:rect>
              </w:pict>
            </mc:Fallback>
          </mc:AlternateContent>
        </w:r>
      </w:sdtContent>
    </w:sdt>
    <w:r w:rsidR="00897B21"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7B21">
      <w:rPr>
        <w:rFonts w:asciiTheme="majorHAnsi" w:hAnsiTheme="majorHAnsi"/>
        <w:sz w:val="20"/>
      </w:rPr>
      <w:t xml:space="preserve">                                                                 </w:t>
    </w:r>
    <w:r w:rsidR="00053F39">
      <w:rPr>
        <w:rFonts w:asciiTheme="majorHAnsi" w:hAnsiTheme="majorHAnsi"/>
        <w:sz w:val="20"/>
      </w:rPr>
      <w:t xml:space="preserve">                                                          </w:t>
    </w:r>
    <w:r w:rsidR="00897B21">
      <w:rPr>
        <w:rFonts w:asciiTheme="majorHAnsi" w:hAnsiTheme="majorHAnsi"/>
        <w:sz w:val="20"/>
      </w:rPr>
      <w:t xml:space="preserve">     </w:t>
    </w:r>
    <w:r w:rsidR="00897B21" w:rsidRPr="003B0F77">
      <w:rPr>
        <w:rFonts w:asciiTheme="majorHAnsi" w:hAnsiTheme="majorHAnsi"/>
        <w:sz w:val="20"/>
      </w:rPr>
      <w:t>teachSam-OER 201</w:t>
    </w:r>
    <w:r w:rsidR="006B317B">
      <w:rPr>
        <w:rFonts w:asciiTheme="majorHAnsi" w:hAnsiTheme="majorHAnsi"/>
        <w:sz w:val="20"/>
      </w:rPr>
      <w:t>8</w:t>
    </w:r>
  </w:p>
  <w:p w:rsidR="00A204EF" w:rsidRDefault="00A20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0FF3"/>
    <w:multiLevelType w:val="hybridMultilevel"/>
    <w:tmpl w:val="196C9B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171E35"/>
    <w:multiLevelType w:val="multilevel"/>
    <w:tmpl w:val="232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3506B"/>
    <w:multiLevelType w:val="multilevel"/>
    <w:tmpl w:val="BEA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771A3"/>
    <w:multiLevelType w:val="multilevel"/>
    <w:tmpl w:val="B83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B42D1"/>
    <w:multiLevelType w:val="multilevel"/>
    <w:tmpl w:val="1CC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17DD3"/>
    <w:multiLevelType w:val="multilevel"/>
    <w:tmpl w:val="9B2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D4F24"/>
    <w:multiLevelType w:val="hybridMultilevel"/>
    <w:tmpl w:val="B4442E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146705"/>
    <w:multiLevelType w:val="multilevel"/>
    <w:tmpl w:val="095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C1741"/>
    <w:multiLevelType w:val="multilevel"/>
    <w:tmpl w:val="A3A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A1CD8"/>
    <w:multiLevelType w:val="multilevel"/>
    <w:tmpl w:val="5D6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A70A3"/>
    <w:multiLevelType w:val="multilevel"/>
    <w:tmpl w:val="D2C2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E5C91"/>
    <w:multiLevelType w:val="multilevel"/>
    <w:tmpl w:val="FCD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677FE"/>
    <w:multiLevelType w:val="hybridMultilevel"/>
    <w:tmpl w:val="35962D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C1141B"/>
    <w:multiLevelType w:val="multilevel"/>
    <w:tmpl w:val="22DE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E5D29"/>
    <w:multiLevelType w:val="multilevel"/>
    <w:tmpl w:val="8C2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14"/>
  </w:num>
  <w:num w:numId="5">
    <w:abstractNumId w:val="13"/>
  </w:num>
  <w:num w:numId="6">
    <w:abstractNumId w:val="3"/>
  </w:num>
  <w:num w:numId="7">
    <w:abstractNumId w:val="4"/>
  </w:num>
  <w:num w:numId="8">
    <w:abstractNumId w:val="1"/>
  </w:num>
  <w:num w:numId="9">
    <w:abstractNumId w:val="10"/>
  </w:num>
  <w:num w:numId="10">
    <w:abstractNumId w:val="2"/>
  </w:num>
  <w:num w:numId="11">
    <w:abstractNumId w:val="7"/>
  </w:num>
  <w:num w:numId="12">
    <w:abstractNumId w:val="8"/>
  </w:num>
  <w:num w:numId="13">
    <w:abstractNumId w:val="11"/>
  </w:num>
  <w:num w:numId="14">
    <w:abstractNumId w:val="0"/>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EF"/>
    <w:rsid w:val="000031A8"/>
    <w:rsid w:val="00032603"/>
    <w:rsid w:val="00041AC4"/>
    <w:rsid w:val="00046399"/>
    <w:rsid w:val="00053F39"/>
    <w:rsid w:val="0007306B"/>
    <w:rsid w:val="00074F4B"/>
    <w:rsid w:val="00076C4A"/>
    <w:rsid w:val="000D5E21"/>
    <w:rsid w:val="00135056"/>
    <w:rsid w:val="00192ECA"/>
    <w:rsid w:val="00195AB5"/>
    <w:rsid w:val="001A19EC"/>
    <w:rsid w:val="001B1684"/>
    <w:rsid w:val="001B1858"/>
    <w:rsid w:val="001C49E9"/>
    <w:rsid w:val="001C749A"/>
    <w:rsid w:val="001E6D50"/>
    <w:rsid w:val="001F2E4F"/>
    <w:rsid w:val="002244FE"/>
    <w:rsid w:val="00283D35"/>
    <w:rsid w:val="00297F75"/>
    <w:rsid w:val="002B6C9F"/>
    <w:rsid w:val="002E5557"/>
    <w:rsid w:val="00343515"/>
    <w:rsid w:val="00346FD0"/>
    <w:rsid w:val="00352A89"/>
    <w:rsid w:val="00356BE1"/>
    <w:rsid w:val="00372626"/>
    <w:rsid w:val="003777C1"/>
    <w:rsid w:val="00391F51"/>
    <w:rsid w:val="00397833"/>
    <w:rsid w:val="003A059B"/>
    <w:rsid w:val="003C1203"/>
    <w:rsid w:val="003D2C3A"/>
    <w:rsid w:val="0045146F"/>
    <w:rsid w:val="00455063"/>
    <w:rsid w:val="004E5E5F"/>
    <w:rsid w:val="004F00A4"/>
    <w:rsid w:val="004F779D"/>
    <w:rsid w:val="00565867"/>
    <w:rsid w:val="00591814"/>
    <w:rsid w:val="00596943"/>
    <w:rsid w:val="005D10B7"/>
    <w:rsid w:val="005E76F8"/>
    <w:rsid w:val="00607BFF"/>
    <w:rsid w:val="006146D7"/>
    <w:rsid w:val="006377E0"/>
    <w:rsid w:val="006B317B"/>
    <w:rsid w:val="006E5F6A"/>
    <w:rsid w:val="00705291"/>
    <w:rsid w:val="007544EE"/>
    <w:rsid w:val="007C661F"/>
    <w:rsid w:val="007F489D"/>
    <w:rsid w:val="008031C8"/>
    <w:rsid w:val="008476CA"/>
    <w:rsid w:val="00870709"/>
    <w:rsid w:val="008932DA"/>
    <w:rsid w:val="00897B21"/>
    <w:rsid w:val="008C01DC"/>
    <w:rsid w:val="008C57E0"/>
    <w:rsid w:val="008D0B6C"/>
    <w:rsid w:val="0091165C"/>
    <w:rsid w:val="00922202"/>
    <w:rsid w:val="009712F5"/>
    <w:rsid w:val="00977FD9"/>
    <w:rsid w:val="009E3850"/>
    <w:rsid w:val="00A204EF"/>
    <w:rsid w:val="00A46EC3"/>
    <w:rsid w:val="00AF5149"/>
    <w:rsid w:val="00B04441"/>
    <w:rsid w:val="00B10090"/>
    <w:rsid w:val="00B45808"/>
    <w:rsid w:val="00B6128F"/>
    <w:rsid w:val="00B659B5"/>
    <w:rsid w:val="00B81F2C"/>
    <w:rsid w:val="00BC5D52"/>
    <w:rsid w:val="00BC6B11"/>
    <w:rsid w:val="00BD6769"/>
    <w:rsid w:val="00C04DBD"/>
    <w:rsid w:val="00C55D17"/>
    <w:rsid w:val="00C63866"/>
    <w:rsid w:val="00C93FA1"/>
    <w:rsid w:val="00CA7510"/>
    <w:rsid w:val="00CD019A"/>
    <w:rsid w:val="00D453BE"/>
    <w:rsid w:val="00D86C80"/>
    <w:rsid w:val="00D97DC1"/>
    <w:rsid w:val="00DE0CD4"/>
    <w:rsid w:val="00DF113B"/>
    <w:rsid w:val="00E478BB"/>
    <w:rsid w:val="00E50B60"/>
    <w:rsid w:val="00E55B3E"/>
    <w:rsid w:val="00E85633"/>
    <w:rsid w:val="00EE3E86"/>
    <w:rsid w:val="00F97AF2"/>
    <w:rsid w:val="00FC3653"/>
    <w:rsid w:val="00FD629F"/>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1825B4"/>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 w:type="character" w:styleId="Funotenzeichen">
    <w:name w:val="footnote reference"/>
    <w:semiHidden/>
    <w:rsid w:val="00FF6402"/>
    <w:rPr>
      <w:position w:val="6"/>
      <w:sz w:val="16"/>
    </w:rPr>
  </w:style>
  <w:style w:type="paragraph" w:styleId="Funotentext">
    <w:name w:val="footnote text"/>
    <w:basedOn w:val="Standard"/>
    <w:link w:val="FunotentextZchn"/>
    <w:semiHidden/>
    <w:rsid w:val="00FF6402"/>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FF6402"/>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9853">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406617073">
      <w:bodyDiv w:val="1"/>
      <w:marLeft w:val="0"/>
      <w:marRight w:val="0"/>
      <w:marTop w:val="0"/>
      <w:marBottom w:val="0"/>
      <w:divBdr>
        <w:top w:val="none" w:sz="0" w:space="0" w:color="auto"/>
        <w:left w:val="none" w:sz="0" w:space="0" w:color="auto"/>
        <w:bottom w:val="none" w:sz="0" w:space="0" w:color="auto"/>
        <w:right w:val="none" w:sz="0" w:space="0" w:color="auto"/>
      </w:divBdr>
    </w:div>
    <w:div w:id="766193880">
      <w:bodyDiv w:val="1"/>
      <w:marLeft w:val="0"/>
      <w:marRight w:val="0"/>
      <w:marTop w:val="0"/>
      <w:marBottom w:val="0"/>
      <w:divBdr>
        <w:top w:val="none" w:sz="0" w:space="0" w:color="auto"/>
        <w:left w:val="none" w:sz="0" w:space="0" w:color="auto"/>
        <w:bottom w:val="none" w:sz="0" w:space="0" w:color="auto"/>
        <w:right w:val="none" w:sz="0" w:space="0" w:color="auto"/>
      </w:divBdr>
    </w:div>
    <w:div w:id="869955296">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5799-D46D-43AF-B941-54048CE9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Gert Egle</cp:lastModifiedBy>
  <cp:revision>2</cp:revision>
  <cp:lastPrinted>2015-02-18T17:02:00Z</cp:lastPrinted>
  <dcterms:created xsi:type="dcterms:W3CDTF">2018-12-28T15:58:00Z</dcterms:created>
  <dcterms:modified xsi:type="dcterms:W3CDTF">2018-12-28T15:58:00Z</dcterms:modified>
</cp:coreProperties>
</file>