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7D04F6F2" w14:textId="074F44F1" w:rsidR="00BB6872" w:rsidRPr="003B0CC2" w:rsidRDefault="00C714DA" w:rsidP="00BB6872">
      <w:pPr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Geschlossene und offene Form des Dramas</w:t>
      </w:r>
    </w:p>
    <w:p w14:paraId="59C65A3E" w14:textId="61914DB1" w:rsidR="00F839B2" w:rsidRPr="003D0BEB" w:rsidRDefault="00DB1E16" w:rsidP="00BB6872">
      <w:pPr>
        <w:spacing w:afterLines="60" w:after="144"/>
        <w:rPr>
          <w:b/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>Idealtypen der dramaturgischen Form</w:t>
      </w:r>
    </w:p>
    <w:p w14:paraId="05E01D60" w14:textId="77777777" w:rsidR="00526F25" w:rsidRDefault="00526F25" w:rsidP="00BB6872">
      <w:pPr>
        <w:spacing w:afterLines="60" w:after="144"/>
        <w:rPr>
          <w:sz w:val="22"/>
        </w:rPr>
        <w:sectPr w:rsidR="00526F25" w:rsidSect="00F839B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274EFA63" w14:textId="76B3EF04" w:rsidR="00820893" w:rsidRDefault="00DB1E16" w:rsidP="00B70AF3">
      <w:pPr>
        <w:spacing w:before="60" w:after="240"/>
        <w:jc w:val="both"/>
        <w:rPr>
          <w:rFonts w:eastAsia="Times New Roman" w:cs="Times New Roman"/>
        </w:rPr>
      </w:pPr>
      <w:r w:rsidRPr="00DB1E16">
        <w:rPr>
          <w:rFonts w:eastAsia="Times New Roman" w:cs="Times New Roman"/>
        </w:rPr>
        <w:t xml:space="preserve">Seit der Arbeit von Volker Klotz (1960) unterscheidet man im Allgemeinen zwei verschiedene </w:t>
      </w:r>
      <w:r w:rsidR="00441734">
        <w:rPr>
          <w:rFonts w:eastAsia="Times New Roman" w:cs="Times New Roman"/>
        </w:rPr>
        <w:t xml:space="preserve">idealtypische Formen </w:t>
      </w:r>
      <w:r w:rsidRPr="00DB1E16">
        <w:rPr>
          <w:rFonts w:eastAsia="Times New Roman" w:cs="Times New Roman"/>
        </w:rPr>
        <w:t>des Dramas</w:t>
      </w:r>
      <w:r w:rsidR="00441734">
        <w:rPr>
          <w:rFonts w:eastAsia="Times New Roman" w:cs="Times New Roman"/>
        </w:rPr>
        <w:t>. Damit lassen sich allerdings nicht die ganze Vielfalt von Dramen erfassen.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8"/>
        <w:gridCol w:w="3775"/>
        <w:gridCol w:w="3775"/>
      </w:tblGrid>
      <w:tr w:rsidR="00DB1E16" w14:paraId="0ABC0BBE" w14:textId="77777777" w:rsidTr="00DB1E16">
        <w:trPr>
          <w:jc w:val="center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B3E9" w14:textId="77777777" w:rsidR="00DB1E16" w:rsidRPr="00441734" w:rsidRDefault="00DB1E16">
            <w:pPr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FD77A" w14:textId="77777777" w:rsidR="00DB1E16" w:rsidRPr="00441734" w:rsidRDefault="00DB1E16" w:rsidP="00441734">
            <w:pPr>
              <w:spacing w:line="240" w:lineRule="exact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Geschlossene Form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1107" w14:textId="77777777" w:rsidR="00DB1E16" w:rsidRPr="00441734" w:rsidRDefault="00DB1E16" w:rsidP="00441734">
            <w:pPr>
              <w:spacing w:line="240" w:lineRule="exact"/>
              <w:jc w:val="center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Offene Form</w:t>
            </w:r>
          </w:p>
        </w:tc>
      </w:tr>
      <w:tr w:rsidR="00DB1E16" w14:paraId="3CE42930" w14:textId="77777777" w:rsidTr="00DB1E16">
        <w:trPr>
          <w:jc w:val="center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3576" w14:textId="6CB5441B" w:rsidR="00DB1E16" w:rsidRPr="00441734" w:rsidRDefault="00DB1E16">
            <w:pPr>
              <w:pStyle w:val="StandardWeb"/>
              <w:spacing w:before="45" w:beforeAutospacing="0" w:after="45" w:afterAutospacing="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Handlung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EDFA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funktionaler Zusammenhang sämtlicher Teile des dramatischen Geschehens</w:t>
            </w:r>
          </w:p>
          <w:p w14:paraId="5E07D22C" w14:textId="77777777" w:rsidR="00DB1E16" w:rsidRPr="00441734" w:rsidRDefault="00DB1E16" w:rsidP="00441734">
            <w:pPr>
              <w:pStyle w:val="Listenabsatz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eindeutige, in sich abgeschlossene Haupthandlung</w:t>
            </w:r>
          </w:p>
          <w:p w14:paraId="5FAF78A2" w14:textId="77777777" w:rsidR="00DB1E16" w:rsidRPr="00441734" w:rsidRDefault="00DB1E16" w:rsidP="00441734">
            <w:pPr>
              <w:pStyle w:val="Listenabsatz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einsträngige Fabel</w:t>
            </w:r>
          </w:p>
          <w:p w14:paraId="0FD9A02B" w14:textId="3E069C86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dramatische Sukzession ergibt sich stets aus dem Vorangegangen</w:t>
            </w:r>
            <w:r w:rsidR="00B70AF3">
              <w:rPr>
                <w:rFonts w:asciiTheme="majorHAnsi" w:hAnsiTheme="majorHAnsi" w:cs="Arial"/>
                <w:color w:val="000000"/>
                <w:szCs w:val="20"/>
              </w:rPr>
              <w:t xml:space="preserve"> </w:t>
            </w:r>
            <w:r w:rsidR="00B70AF3">
              <w:rPr>
                <w:rFonts w:asciiTheme="majorHAnsi" w:hAnsiTheme="majorHAnsi" w:cs="Arial"/>
                <w:color w:val="000000"/>
                <w:szCs w:val="20"/>
              </w:rPr>
              <w:t>(Sukzessionsprinzip)</w:t>
            </w:r>
          </w:p>
          <w:p w14:paraId="2AE24D44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Szenen gehen oft nahtlos ineinander über</w:t>
            </w:r>
          </w:p>
          <w:p w14:paraId="46BAF3A8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Kontinuität des Themas und Inhalts</w:t>
            </w:r>
          </w:p>
          <w:p w14:paraId="2F7FF665" w14:textId="53C6FC25" w:rsidR="00DB1E16" w:rsidRPr="00441734" w:rsidRDefault="00DB1E16" w:rsidP="00441734">
            <w:pPr>
              <w:pStyle w:val="Listenabsatz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 xml:space="preserve">"planmäßiger" Fortgang </w:t>
            </w: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mit meist zeitlich genauer Konkretisierung</w:t>
            </w:r>
          </w:p>
          <w:p w14:paraId="79AD4330" w14:textId="069D3811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final ausgerichtete Sukzession der Handlung</w:t>
            </w:r>
            <w:r w:rsidR="00B70AF3">
              <w:rPr>
                <w:rFonts w:asciiTheme="majorHAnsi" w:hAnsiTheme="majorHAnsi" w:cs="Arial"/>
                <w:color w:val="000000"/>
                <w:szCs w:val="20"/>
              </w:rPr>
              <w:t xml:space="preserve">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7A55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Szenen besitzen relative Autonomie und damit ein Eigengewicht</w:t>
            </w:r>
          </w:p>
          <w:p w14:paraId="5F1CC5F3" w14:textId="3FD142AB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 xml:space="preserve">Zusammenhang der Szenen (Kohärenz) wird </w:t>
            </w:r>
            <w:r w:rsidRPr="00441734">
              <w:rPr>
                <w:rFonts w:asciiTheme="majorHAnsi" w:hAnsiTheme="majorHAnsi" w:cs="Arial"/>
                <w:color w:val="000000"/>
                <w:szCs w:val="20"/>
              </w:rPr>
              <w:t xml:space="preserve"> </w:t>
            </w:r>
            <w:r w:rsidRPr="00441734">
              <w:rPr>
                <w:rFonts w:asciiTheme="majorHAnsi" w:hAnsiTheme="majorHAnsi" w:cs="Arial"/>
                <w:color w:val="000000"/>
                <w:szCs w:val="20"/>
              </w:rPr>
              <w:t>mit unterschiedlichen kompositorischen Elementen hergestellt</w:t>
            </w:r>
          </w:p>
          <w:p w14:paraId="6DE2E885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mehrsträngige Fabel (multiple Plotstrukturen, Polymethie)</w:t>
            </w:r>
          </w:p>
          <w:p w14:paraId="34FF3013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ohne finale Ausrichtung der Handlung und ohne Fokussierung auf eine dramatische Gesamtidee</w:t>
            </w:r>
          </w:p>
        </w:tc>
      </w:tr>
      <w:tr w:rsidR="00DB1E16" w14:paraId="32EB363A" w14:textId="77777777" w:rsidTr="00DB1E16">
        <w:trPr>
          <w:jc w:val="center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D993" w14:textId="5EC3C6C3" w:rsidR="00DB1E16" w:rsidRPr="00441734" w:rsidRDefault="00DB1E16">
            <w:pPr>
              <w:pStyle w:val="StandardWeb"/>
              <w:spacing w:before="45" w:beforeAutospacing="0" w:after="45" w:afterAutospacing="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Zeit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ACA7" w14:textId="068259FD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Einheit der Zeit (Aristotelische Regeln von den drei Einheiten)</w:t>
            </w:r>
          </w:p>
          <w:p w14:paraId="68034ABF" w14:textId="397776FA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objektive, progressive und lineare Zeitkonzeption ohne Sprünge, geringe außerszenische Raffung</w:t>
            </w:r>
          </w:p>
          <w:p w14:paraId="6157778C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Zeit als Handlungszeit bzw. Handlungsrahmen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20DB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keine Begrenzung der Zeit</w:t>
            </w:r>
          </w:p>
          <w:p w14:paraId="48035A15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Intervallartige, diskontinuierliche temporale Struktur</w:t>
            </w:r>
          </w:p>
          <w:p w14:paraId="43A3C074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Zeitsprünge</w:t>
            </w:r>
          </w:p>
          <w:p w14:paraId="7C1B0066" w14:textId="687BBF65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tendenziell und in unterschiedlichen Kombinationen subjektive, statische und zyklische Zeitkonzeptionen</w:t>
            </w:r>
          </w:p>
        </w:tc>
      </w:tr>
      <w:tr w:rsidR="00DB1E16" w14:paraId="01C779D4" w14:textId="77777777" w:rsidTr="00DB1E16">
        <w:trPr>
          <w:jc w:val="center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C1B93" w14:textId="6818EA2B" w:rsidR="00DB1E16" w:rsidRPr="00441734" w:rsidRDefault="00DB1E16">
            <w:pPr>
              <w:pStyle w:val="StandardWeb"/>
              <w:spacing w:before="45" w:beforeAutospacing="0" w:after="45" w:afterAutospacing="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Raum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EA1E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Einheit des Ortes  (Aristotelische Regeln von den drei Einheiten)</w:t>
            </w:r>
          </w:p>
          <w:p w14:paraId="47F61047" w14:textId="09224C33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 xml:space="preserve">keine Ortswechsel </w:t>
            </w:r>
          </w:p>
          <w:p w14:paraId="659EE9D8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verdeckte Handlung wird als Wortkulisse über Mauerschau (Teichoskopie) oder  Botenbericht sprachlich erzeugt und stellt diese reinen Imaginationsräume in einen engen raumzeitlichen Bezug zu dem Ort bzw. Schauplatz</w:t>
            </w:r>
          </w:p>
          <w:p w14:paraId="0901B43E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Raum als bloßer Hintergrund bzw. Handlungs- bzw. Aktionsraum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C6B5E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Vielheit der Orte, Schauplätze und Räume</w:t>
            </w:r>
          </w:p>
          <w:p w14:paraId="575FBB81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keine räumlichen Begrenzungen</w:t>
            </w:r>
          </w:p>
          <w:p w14:paraId="0EA93336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Ortswechsel häufig</w:t>
            </w:r>
          </w:p>
          <w:p w14:paraId="0C1E4EF3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Ort nimmt als dynamische Größe Einfluss auf des Verhalten der Figuren (Katalysatorfunktion)</w:t>
            </w:r>
          </w:p>
        </w:tc>
      </w:tr>
      <w:tr w:rsidR="00DB1E16" w14:paraId="2D43AF2B" w14:textId="77777777" w:rsidTr="00DB1E16">
        <w:trPr>
          <w:jc w:val="center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5A4F" w14:textId="6E47924E" w:rsidR="00DB1E16" w:rsidRPr="00441734" w:rsidRDefault="00DB1E16">
            <w:pPr>
              <w:pStyle w:val="StandardWeb"/>
              <w:spacing w:before="45" w:beforeAutospacing="0" w:after="45" w:afterAutospacing="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Personal / Figuren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A6D8F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 xml:space="preserve">geringe Figurenanzahl </w:t>
            </w:r>
          </w:p>
          <w:p w14:paraId="30B9BDCC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ohne Massenszenen</w:t>
            </w:r>
          </w:p>
          <w:p w14:paraId="60B31373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Protagonist und Antagonist als zentrale Figuren umgeben von einem symmetrisch, aber antagonistisch konzipierten Kreis von Begleitern und Vertrauten</w:t>
            </w:r>
          </w:p>
          <w:p w14:paraId="50FE198A" w14:textId="77381D42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 xml:space="preserve">Ständeklausel </w:t>
            </w:r>
          </w:p>
          <w:p w14:paraId="3F269927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lastRenderedPageBreak/>
              <w:t>autonome, rational orientiert und zur Selbstreflexion fähige Charaktere mit einer komplexen Innenwelt, die sich entwickeln können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E34B9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lastRenderedPageBreak/>
              <w:t>unbegrenzte Figurenzahl</w:t>
            </w:r>
          </w:p>
          <w:p w14:paraId="6FC988F4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zahlreiche Neben- und Randfiguren</w:t>
            </w:r>
          </w:p>
          <w:p w14:paraId="2197DA20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Standeszugehörigkeit bedeutungslose</w:t>
            </w:r>
          </w:p>
          <w:p w14:paraId="5997BD3D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 xml:space="preserve">Figuren sind von ihrer Herkunft, Milieu und dem sie sonst wie prägenden gesellschaftlichen Kontext sowie der Fülle, der auf sie einwirkenden </w:t>
            </w:r>
            <w:r w:rsidRPr="00441734">
              <w:rPr>
                <w:rFonts w:asciiTheme="majorHAnsi" w:hAnsiTheme="majorHAnsi" w:cs="Arial"/>
                <w:color w:val="000000"/>
                <w:szCs w:val="20"/>
              </w:rPr>
              <w:lastRenderedPageBreak/>
              <w:t>Elemente in ihrer Wahrnehmung, ihrem Horizont und ihrer Gefühlswelt beschränkt</w:t>
            </w:r>
          </w:p>
        </w:tc>
      </w:tr>
      <w:tr w:rsidR="00DB1E16" w14:paraId="133E6265" w14:textId="77777777" w:rsidTr="00DB1E16">
        <w:trPr>
          <w:jc w:val="center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CE94" w14:textId="77777777" w:rsidR="00DB1E16" w:rsidRPr="00441734" w:rsidRDefault="00DB1E16">
            <w:pPr>
              <w:pStyle w:val="StandardWeb"/>
              <w:spacing w:before="45" w:beforeAutospacing="0" w:after="45" w:afterAutospacing="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lastRenderedPageBreak/>
              <w:t>Sprache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8C1F4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einheitlicher, in der Regel erlesener, regelhafter gehobener Sprachstil</w:t>
            </w:r>
          </w:p>
          <w:p w14:paraId="1F75A4B4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Versform bevorzugt</w:t>
            </w:r>
          </w:p>
          <w:p w14:paraId="7F3C58EA" w14:textId="0189887F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rhetorische Sprachgestaltung mit sprachlich austarierter und zu Sentenzen neigender Figurenrede</w:t>
            </w:r>
          </w:p>
          <w:p w14:paraId="492C0CCE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häufig hypotaktische Satzstrukturen, die den Reflexionsgrad der Figuren und die Komplexität der das Drama tragenden Idee ausdrücken</w:t>
            </w:r>
          </w:p>
          <w:p w14:paraId="39F42828" w14:textId="624CAA25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Dialog als Rededuell (Stichomythie)</w:t>
            </w:r>
          </w:p>
          <w:p w14:paraId="66B560E5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geringe Bedeutung von Mimik und Gestik und andere nonverbale Ausdruckselemente</w:t>
            </w:r>
          </w:p>
          <w:p w14:paraId="57530D47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Welt ist sprachlich rational erfassbar (daher auch keine szenischen von Gewaltdarstellungen)</w:t>
            </w:r>
          </w:p>
          <w:p w14:paraId="28313FB3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stilisierte Kunst-Sprache kann Gegensätze der Realität aufheben und Harmonie herstellen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586E1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kein einheitlicher Sprachstil (Stilpluralismus)</w:t>
            </w:r>
          </w:p>
          <w:p w14:paraId="45F418D7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Prosaform</w:t>
            </w:r>
          </w:p>
          <w:p w14:paraId="4069C54D" w14:textId="62745882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Umgangssprache mit Tendenz zu kurzen Hauptsätzen (Parataxen) oder Ellipsen</w:t>
            </w:r>
          </w:p>
          <w:p w14:paraId="34C2E29B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große Bedeutung der Körperlichkeit der Figuren und ihres mimisch-gestischen Verhaltens</w:t>
            </w:r>
          </w:p>
          <w:p w14:paraId="337C20A9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Welt ist mit Sprache allein nicht zu fassen</w:t>
            </w:r>
          </w:p>
          <w:p w14:paraId="3BFDD0C1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Sprache angefüllt mit leeren Floskeln, zerbrochenem Satzbau, die die fragmentierte und in sich widersprüchliche Weltsicht nahezu eigendynamisch ausstellt</w:t>
            </w:r>
          </w:p>
        </w:tc>
      </w:tr>
      <w:tr w:rsidR="00DB1E16" w14:paraId="40648F57" w14:textId="77777777" w:rsidTr="00DB1E16">
        <w:trPr>
          <w:jc w:val="center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16DD8" w14:textId="77777777" w:rsidR="00DB1E16" w:rsidRPr="00441734" w:rsidRDefault="00DB1E16">
            <w:pPr>
              <w:pStyle w:val="StandardWeb"/>
              <w:spacing w:before="45" w:beforeAutospacing="0" w:after="45" w:afterAutospacing="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Komposition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FD74D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von der Gesamtheit der allgemeinen vorgestellten Idee bestimmt</w:t>
            </w:r>
          </w:p>
          <w:p w14:paraId="55238B06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Ausschnitt als Totalität von Welt: Ausschnitt als Ganzes</w:t>
            </w:r>
          </w:p>
          <w:p w14:paraId="4F994E27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Teile können nicht weggelassen oder ausgetauscht werden</w:t>
            </w:r>
          </w:p>
          <w:p w14:paraId="47581A5D" w14:textId="1DD14A6F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Vorgeschichte in der ▪ Exposition</w:t>
            </w:r>
          </w:p>
          <w:p w14:paraId="19F846B7" w14:textId="67FA5C6D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Einteilung in Akte, ▪ konventionell 5 Akte, aber auch als Dreiakter</w:t>
            </w:r>
          </w:p>
          <w:p w14:paraId="64BDA7A8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hierarchische Ordnung von Akten und Szenen</w:t>
            </w:r>
          </w:p>
          <w:p w14:paraId="5AD5B551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Proportionalität z. B. beim Figurenarsenal</w:t>
            </w:r>
          </w:p>
          <w:p w14:paraId="5399C3BC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fein abgestimmte Analogien</w:t>
            </w:r>
          </w:p>
          <w:p w14:paraId="4CF6DEEF" w14:textId="77777777" w:rsidR="00DB1E16" w:rsidRPr="00441734" w:rsidRDefault="00DB1E16" w:rsidP="00441734">
            <w:pPr>
              <w:pStyle w:val="StandardWeb"/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45" w:beforeAutospacing="0" w:after="45" w:afterAutospacing="0" w:line="240" w:lineRule="exact"/>
              <w:ind w:left="380"/>
              <w:rPr>
                <w:rFonts w:asciiTheme="majorHAnsi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hAnsiTheme="majorHAnsi" w:cs="Arial"/>
                <w:color w:val="000000"/>
                <w:szCs w:val="20"/>
              </w:rPr>
              <w:t>Symmetrien: symmetrische Architektur, symmetrisches Gleichgewicht o. ä.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5649" w14:textId="77777777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aspekthafte Darstellung einer fragmentierten, von Widersprüchen geprägten, zusammenhanglosen Welt</w:t>
            </w:r>
          </w:p>
          <w:p w14:paraId="07A1F1BC" w14:textId="77777777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 xml:space="preserve">unvermittelter Anfang und offenes, unvermitteltes Ende </w:t>
            </w:r>
            <w:bookmarkStart w:id="0" w:name="Verknüpfung_der_Szenen"/>
            <w:bookmarkEnd w:id="0"/>
          </w:p>
          <w:p w14:paraId="6AC36A26" w14:textId="08A161C7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Verknüpfung der Szenen durch rekurrente dramaturgische Prinzipien, z. B. durch</w:t>
            </w:r>
          </w:p>
          <w:p w14:paraId="65CC1E20" w14:textId="77777777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Komplementäre, um ein Thema kreisende Handlungsstränge</w:t>
            </w:r>
          </w:p>
          <w:p w14:paraId="62ACA829" w14:textId="77777777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Variation und Opposition der Szenen</w:t>
            </w:r>
          </w:p>
          <w:p w14:paraId="14BC1460" w14:textId="77777777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zyklische Muster der Szenenfolge oder Wiederholungen bestimmter Elemente</w:t>
            </w:r>
          </w:p>
          <w:p w14:paraId="0E66546F" w14:textId="68990179" w:rsidR="00DB1E16" w:rsidRPr="00441734" w:rsidRDefault="00B70AF3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Cs w:val="20"/>
              </w:rPr>
              <w:t xml:space="preserve">Leitmotive, </w:t>
            </w:r>
            <w:r w:rsidR="00DB1E16"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metaphorische Bildketten</w:t>
            </w:r>
          </w:p>
          <w:p w14:paraId="06C1EA96" w14:textId="77777777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Isotopien: kleinste als Ganzes Bedeutung tragende dramatische Einheiten, die aus einer Struktur sprachlicher und nichtsprachlicher (theatralischer) Zeichen bestehen</w:t>
            </w:r>
          </w:p>
          <w:p w14:paraId="5851422D" w14:textId="127EFED2" w:rsidR="00DB1E16" w:rsidRPr="00441734" w:rsidRDefault="00DB1E16" w:rsidP="004417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exact"/>
              <w:ind w:left="38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441734">
              <w:rPr>
                <w:rFonts w:asciiTheme="majorHAnsi" w:eastAsia="Times New Roman" w:hAnsiTheme="majorHAnsi" w:cs="Arial"/>
                <w:color w:val="000000"/>
                <w:szCs w:val="20"/>
              </w:rPr>
              <w:t>aber auch: bewusste Betonung des Ausschnitthaften bzw. Fragmentarischen einer Szene (Aposiopese)</w:t>
            </w:r>
          </w:p>
        </w:tc>
        <w:bookmarkStart w:id="1" w:name="_GoBack"/>
        <w:bookmarkEnd w:id="1"/>
      </w:tr>
    </w:tbl>
    <w:p w14:paraId="6E0C7785" w14:textId="496CF05C" w:rsidR="00DB1E16" w:rsidRPr="00441734" w:rsidRDefault="00DB1E16" w:rsidP="00441734">
      <w:pPr>
        <w:spacing w:before="120"/>
        <w:rPr>
          <w:rFonts w:asciiTheme="majorHAnsi" w:hAnsiTheme="majorHAnsi"/>
        </w:rPr>
      </w:pPr>
      <w:r w:rsidRPr="00441734">
        <w:rPr>
          <w:rFonts w:asciiTheme="majorHAnsi" w:hAnsiTheme="majorHAnsi"/>
        </w:rPr>
        <w:t xml:space="preserve">(vgl. </w:t>
      </w:r>
      <w:hyperlink r:id="rId12" w:anchor="Klotz, Volker (1969)" w:history="1">
        <w:r w:rsidRPr="00441734">
          <w:rPr>
            <w:rStyle w:val="Hyperlink"/>
            <w:rFonts w:asciiTheme="majorHAnsi" w:hAnsiTheme="majorHAnsi"/>
            <w:u w:val="none"/>
          </w:rPr>
          <w:t>Klotz 1960;</w:t>
        </w:r>
      </w:hyperlink>
      <w:r w:rsidRPr="00441734">
        <w:rPr>
          <w:rFonts w:asciiTheme="majorHAnsi" w:hAnsiTheme="majorHAnsi"/>
        </w:rPr>
        <w:t xml:space="preserve"> </w:t>
      </w:r>
      <w:hyperlink r:id="rId13" w:anchor="Pfister, Manfred (1977)" w:history="1">
        <w:r w:rsidRPr="00441734">
          <w:rPr>
            <w:rStyle w:val="Hyperlink"/>
            <w:rFonts w:asciiTheme="majorHAnsi" w:hAnsiTheme="majorHAnsi"/>
            <w:u w:val="none"/>
          </w:rPr>
          <w:t>Pfister 19</w:t>
        </w:r>
      </w:hyperlink>
      <w:hyperlink r:id="rId14" w:anchor="Pfister, Manfred (1977)" w:history="1">
        <w:r w:rsidRPr="00441734">
          <w:rPr>
            <w:rStyle w:val="Hyperlink"/>
            <w:rFonts w:asciiTheme="majorHAnsi" w:hAnsiTheme="majorHAnsi"/>
            <w:u w:val="none"/>
          </w:rPr>
          <w:t>77;</w:t>
        </w:r>
      </w:hyperlink>
      <w:hyperlink r:id="rId15" w:anchor="Klotz, Volker (1969)" w:history="1">
        <w:r w:rsidRPr="00441734">
          <w:rPr>
            <w:rStyle w:val="Hyperlink"/>
            <w:rFonts w:asciiTheme="majorHAnsi" w:hAnsiTheme="majorHAnsi"/>
            <w:u w:val="none"/>
          </w:rPr>
          <w:t xml:space="preserve"> </w:t>
        </w:r>
      </w:hyperlink>
      <w:hyperlink r:id="rId16" w:anchor="Asmuth, Bernhard (1980)" w:history="1">
        <w:r w:rsidRPr="00441734">
          <w:rPr>
            <w:rStyle w:val="Hyperlink"/>
            <w:rFonts w:asciiTheme="majorHAnsi" w:hAnsiTheme="majorHAnsi"/>
            <w:u w:val="none"/>
          </w:rPr>
          <w:t xml:space="preserve">Asmuth </w:t>
        </w:r>
        <w:r w:rsidRPr="00441734">
          <w:rPr>
            <w:rStyle w:val="Hyperlink"/>
            <w:rFonts w:asciiTheme="majorHAnsi" w:hAnsiTheme="majorHAnsi"/>
            <w:u w:val="none"/>
            <w:vertAlign w:val="superscript"/>
          </w:rPr>
          <w:t>6</w:t>
        </w:r>
        <w:r w:rsidRPr="00441734">
          <w:rPr>
            <w:rStyle w:val="Hyperlink"/>
            <w:rFonts w:asciiTheme="majorHAnsi" w:hAnsiTheme="majorHAnsi"/>
            <w:u w:val="none"/>
          </w:rPr>
          <w:t>2004</w:t>
        </w:r>
      </w:hyperlink>
      <w:r w:rsidRPr="00441734">
        <w:rPr>
          <w:rFonts w:asciiTheme="majorHAnsi" w:hAnsiTheme="majorHAnsi"/>
        </w:rPr>
        <w:t xml:space="preserve">; </w:t>
      </w:r>
      <w:hyperlink r:id="rId17" w:anchor="Boehnisch,_Peter._M._(2012):" w:history="1">
        <w:r w:rsidRPr="00441734">
          <w:rPr>
            <w:rStyle w:val="Hyperlink"/>
            <w:rFonts w:asciiTheme="majorHAnsi" w:hAnsiTheme="majorHAnsi"/>
            <w:u w:val="none"/>
          </w:rPr>
          <w:t>Boehnisch 2012</w:t>
        </w:r>
      </w:hyperlink>
      <w:r w:rsidRPr="00441734">
        <w:rPr>
          <w:rFonts w:asciiTheme="majorHAnsi" w:hAnsiTheme="majorHAnsi"/>
        </w:rPr>
        <w:t xml:space="preserve">, </w:t>
      </w:r>
      <w:hyperlink r:id="rId18" w:anchor="Schößler,_Franziska_(2017)" w:history="1">
        <w:r w:rsidRPr="00441734">
          <w:rPr>
            <w:rStyle w:val="Hyperlink"/>
            <w:rFonts w:asciiTheme="majorHAnsi" w:hAnsiTheme="majorHAnsi"/>
            <w:u w:val="none"/>
          </w:rPr>
          <w:t>Schößler 2017</w:t>
        </w:r>
      </w:hyperlink>
      <w:r w:rsidRPr="00441734">
        <w:rPr>
          <w:rFonts w:asciiTheme="majorHAnsi" w:hAnsiTheme="majorHAnsi"/>
        </w:rPr>
        <w:t xml:space="preserve">, </w:t>
      </w:r>
      <w:hyperlink r:id="rId19" w:anchor="Becker,_Sabina,_Christine_Hummel_und_Gabriele_Sander_(2018)" w:history="1">
        <w:r w:rsidRPr="00441734">
          <w:rPr>
            <w:rStyle w:val="Hyperlink"/>
            <w:rFonts w:asciiTheme="majorHAnsi" w:hAnsiTheme="majorHAnsi"/>
            <w:u w:val="none"/>
          </w:rPr>
          <w:t xml:space="preserve">Becker/Hummel/Sander </w:t>
        </w:r>
        <w:r w:rsidRPr="00441734">
          <w:rPr>
            <w:rStyle w:val="Hyperlink"/>
            <w:rFonts w:asciiTheme="majorHAnsi" w:hAnsiTheme="majorHAnsi"/>
            <w:u w:val="none"/>
            <w:vertAlign w:val="superscript"/>
          </w:rPr>
          <w:t>2</w:t>
        </w:r>
        <w:r w:rsidRPr="00441734">
          <w:rPr>
            <w:rStyle w:val="Hyperlink"/>
            <w:rFonts w:asciiTheme="majorHAnsi" w:hAnsiTheme="majorHAnsi"/>
            <w:u w:val="none"/>
          </w:rPr>
          <w:t>2018</w:t>
        </w:r>
      </w:hyperlink>
      <w:r w:rsidRPr="00441734">
        <w:rPr>
          <w:rFonts w:asciiTheme="majorHAnsi" w:hAnsiTheme="majorHAnsi"/>
        </w:rPr>
        <w:t>)</w:t>
      </w:r>
    </w:p>
    <w:p w14:paraId="6DFCD764" w14:textId="6218E2DE" w:rsidR="00820893" w:rsidRPr="00441734" w:rsidRDefault="00441734" w:rsidP="00441734">
      <w:pPr>
        <w:spacing w:before="60" w:after="100" w:afterAutospacing="1"/>
        <w:jc w:val="both"/>
        <w:rPr>
          <w:rFonts w:asciiTheme="majorHAnsi" w:eastAsia="Times New Roman" w:hAnsiTheme="majorHAnsi" w:cs="Times New Roman"/>
        </w:rPr>
      </w:pPr>
      <w:r w:rsidRPr="00441734">
        <w:rPr>
          <w:rFonts w:asciiTheme="majorHAnsi" w:eastAsia="Times New Roman" w:hAnsiTheme="majorHAnsi" w:cs="Times New Roman"/>
        </w:rPr>
        <w:t xml:space="preserve">Version mit Links zur Erläuterung der fachwissenschaftlichen Begriffe auf der teachSam-Webseite unter: </w:t>
      </w:r>
      <w:hyperlink r:id="rId20" w:history="1">
        <w:r w:rsidRPr="00441734">
          <w:rPr>
            <w:rStyle w:val="Hyperlink"/>
            <w:rFonts w:asciiTheme="majorHAnsi" w:eastAsia="Times New Roman" w:hAnsiTheme="majorHAnsi" w:cs="Times New Roman"/>
            <w:u w:val="none"/>
          </w:rPr>
          <w:t>https://www.teachsam.de/deutsch/d_literatur/d_gat/d_drama/drama_2_01.htm</w:t>
        </w:r>
      </w:hyperlink>
      <w:r w:rsidRPr="00441734">
        <w:rPr>
          <w:rFonts w:asciiTheme="majorHAnsi" w:eastAsia="Times New Roman" w:hAnsiTheme="majorHAnsi" w:cs="Times New Roman"/>
        </w:rPr>
        <w:t xml:space="preserve"> </w:t>
      </w:r>
    </w:p>
    <w:sectPr w:rsidR="00820893" w:rsidRPr="00441734" w:rsidSect="00F839B2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7407" w14:textId="77777777" w:rsidR="00577B95" w:rsidRDefault="00577B95" w:rsidP="003016EC">
      <w:r>
        <w:separator/>
      </w:r>
    </w:p>
  </w:endnote>
  <w:endnote w:type="continuationSeparator" w:id="0">
    <w:p w14:paraId="2BA4E53F" w14:textId="77777777" w:rsidR="00577B95" w:rsidRDefault="00577B95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6638A05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02F1A334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="00441734">
      <w:rPr>
        <w:rFonts w:ascii="Cambria" w:hAnsi="Cambria" w:cs="Arial"/>
        <w:sz w:val="16"/>
        <w:szCs w:val="16"/>
      </w:rPr>
      <w:t xml:space="preserve"> </w:t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5445" w14:textId="77777777" w:rsidR="00577B95" w:rsidRDefault="00577B95" w:rsidP="003016EC">
      <w:r>
        <w:separator/>
      </w:r>
    </w:p>
  </w:footnote>
  <w:footnote w:type="continuationSeparator" w:id="0">
    <w:p w14:paraId="03378701" w14:textId="77777777" w:rsidR="00577B95" w:rsidRDefault="00577B95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0B1D30C7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734">
      <w:rPr>
        <w:rFonts w:asciiTheme="majorHAnsi" w:hAnsiTheme="majorHAnsi"/>
      </w:rPr>
      <w:t xml:space="preserve">                          </w:t>
    </w:r>
    <w:r w:rsidR="001B6478" w:rsidRPr="003B0F77">
      <w:rPr>
        <w:rFonts w:asciiTheme="majorHAnsi" w:hAnsiTheme="majorHAnsi"/>
      </w:rPr>
      <w:t>teachSam-OER 20</w:t>
    </w:r>
    <w:r w:rsidR="00441734">
      <w:rPr>
        <w:rFonts w:asciiTheme="majorHAnsi" w:hAnsiTheme="majorHAnsi"/>
      </w:rPr>
      <w:t>20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60AE18A2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DB1E16">
      <w:rPr>
        <w:rFonts w:asciiTheme="majorHAnsi" w:hAnsiTheme="majorHAnsi"/>
      </w:rPr>
      <w:t xml:space="preserve">                                                  </w:t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</w:t>
    </w:r>
    <w:r w:rsidR="003B0CC2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D5180"/>
    <w:multiLevelType w:val="multilevel"/>
    <w:tmpl w:val="A5F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D487F"/>
    <w:multiLevelType w:val="multilevel"/>
    <w:tmpl w:val="C8A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4348"/>
    <w:multiLevelType w:val="multilevel"/>
    <w:tmpl w:val="BB6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65910"/>
    <w:multiLevelType w:val="hybridMultilevel"/>
    <w:tmpl w:val="0FCE8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D1B70"/>
    <w:multiLevelType w:val="multilevel"/>
    <w:tmpl w:val="8AA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2CD3"/>
    <w:multiLevelType w:val="multilevel"/>
    <w:tmpl w:val="874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0046"/>
    <w:multiLevelType w:val="multilevel"/>
    <w:tmpl w:val="428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D1F2B"/>
    <w:multiLevelType w:val="multilevel"/>
    <w:tmpl w:val="FBE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11547"/>
    <w:multiLevelType w:val="multilevel"/>
    <w:tmpl w:val="E87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11DB3"/>
    <w:multiLevelType w:val="multilevel"/>
    <w:tmpl w:val="2D9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C259E"/>
    <w:multiLevelType w:val="multilevel"/>
    <w:tmpl w:val="CBE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258A1"/>
    <w:multiLevelType w:val="hybridMultilevel"/>
    <w:tmpl w:val="CC4C1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25C29"/>
    <w:multiLevelType w:val="multilevel"/>
    <w:tmpl w:val="C468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07CA"/>
    <w:multiLevelType w:val="multilevel"/>
    <w:tmpl w:val="14C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41783"/>
    <w:multiLevelType w:val="multilevel"/>
    <w:tmpl w:val="7394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6"/>
  </w:num>
  <w:num w:numId="4">
    <w:abstractNumId w:val="16"/>
  </w:num>
  <w:num w:numId="5">
    <w:abstractNumId w:val="29"/>
  </w:num>
  <w:num w:numId="6">
    <w:abstractNumId w:val="12"/>
  </w:num>
  <w:num w:numId="7">
    <w:abstractNumId w:val="15"/>
  </w:num>
  <w:num w:numId="8">
    <w:abstractNumId w:val="20"/>
  </w:num>
  <w:num w:numId="9">
    <w:abstractNumId w:val="4"/>
  </w:num>
  <w:num w:numId="10">
    <w:abstractNumId w:val="28"/>
  </w:num>
  <w:num w:numId="11">
    <w:abstractNumId w:val="32"/>
  </w:num>
  <w:num w:numId="12">
    <w:abstractNumId w:val="22"/>
  </w:num>
  <w:num w:numId="13">
    <w:abstractNumId w:val="10"/>
  </w:num>
  <w:num w:numId="14">
    <w:abstractNumId w:val="25"/>
  </w:num>
  <w:num w:numId="15">
    <w:abstractNumId w:val="18"/>
  </w:num>
  <w:num w:numId="16">
    <w:abstractNumId w:val="38"/>
  </w:num>
  <w:num w:numId="17">
    <w:abstractNumId w:val="21"/>
  </w:num>
  <w:num w:numId="18">
    <w:abstractNumId w:val="2"/>
  </w:num>
  <w:num w:numId="19">
    <w:abstractNumId w:val="14"/>
  </w:num>
  <w:num w:numId="20">
    <w:abstractNumId w:val="34"/>
  </w:num>
  <w:num w:numId="21">
    <w:abstractNumId w:val="5"/>
  </w:num>
  <w:num w:numId="22">
    <w:abstractNumId w:val="9"/>
  </w:num>
  <w:num w:numId="23">
    <w:abstractNumId w:val="35"/>
  </w:num>
  <w:num w:numId="24">
    <w:abstractNumId w:val="8"/>
  </w:num>
  <w:num w:numId="25">
    <w:abstractNumId w:val="0"/>
  </w:num>
  <w:num w:numId="26">
    <w:abstractNumId w:val="31"/>
  </w:num>
  <w:num w:numId="27">
    <w:abstractNumId w:val="17"/>
  </w:num>
  <w:num w:numId="28">
    <w:abstractNumId w:val="27"/>
  </w:num>
  <w:num w:numId="29">
    <w:abstractNumId w:val="24"/>
  </w:num>
  <w:num w:numId="30">
    <w:abstractNumId w:val="3"/>
  </w:num>
  <w:num w:numId="31">
    <w:abstractNumId w:val="33"/>
  </w:num>
  <w:num w:numId="32">
    <w:abstractNumId w:val="1"/>
  </w:num>
  <w:num w:numId="33">
    <w:abstractNumId w:val="23"/>
  </w:num>
  <w:num w:numId="34">
    <w:abstractNumId w:val="36"/>
  </w:num>
  <w:num w:numId="35">
    <w:abstractNumId w:val="7"/>
  </w:num>
  <w:num w:numId="36">
    <w:abstractNumId w:val="37"/>
  </w:num>
  <w:num w:numId="37">
    <w:abstractNumId w:val="19"/>
  </w:num>
  <w:num w:numId="38">
    <w:abstractNumId w:val="11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280"/>
    <w:rsid w:val="00021145"/>
    <w:rsid w:val="00021EB0"/>
    <w:rsid w:val="000248AB"/>
    <w:rsid w:val="0003382B"/>
    <w:rsid w:val="00035D89"/>
    <w:rsid w:val="00042F8F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B6E3E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70FB5"/>
    <w:rsid w:val="00294ACE"/>
    <w:rsid w:val="00296FC5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3DFD"/>
    <w:rsid w:val="00334D1B"/>
    <w:rsid w:val="003404CA"/>
    <w:rsid w:val="00355B1C"/>
    <w:rsid w:val="003577A2"/>
    <w:rsid w:val="00396C15"/>
    <w:rsid w:val="00397A9D"/>
    <w:rsid w:val="003A41EC"/>
    <w:rsid w:val="003A4F55"/>
    <w:rsid w:val="003B02D9"/>
    <w:rsid w:val="003B0CC2"/>
    <w:rsid w:val="003B0F77"/>
    <w:rsid w:val="003C6944"/>
    <w:rsid w:val="003D0BEB"/>
    <w:rsid w:val="003E244A"/>
    <w:rsid w:val="003E288D"/>
    <w:rsid w:val="003E733C"/>
    <w:rsid w:val="00404476"/>
    <w:rsid w:val="004308C2"/>
    <w:rsid w:val="004349E6"/>
    <w:rsid w:val="00441734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3089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26F25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77B9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9253A"/>
    <w:rsid w:val="006A2167"/>
    <w:rsid w:val="006B5839"/>
    <w:rsid w:val="006C033C"/>
    <w:rsid w:val="006C2150"/>
    <w:rsid w:val="006F3164"/>
    <w:rsid w:val="00732267"/>
    <w:rsid w:val="00734E9B"/>
    <w:rsid w:val="0073794C"/>
    <w:rsid w:val="00744333"/>
    <w:rsid w:val="00744BAA"/>
    <w:rsid w:val="007528A3"/>
    <w:rsid w:val="00753F5A"/>
    <w:rsid w:val="007937CA"/>
    <w:rsid w:val="007A14ED"/>
    <w:rsid w:val="007D295E"/>
    <w:rsid w:val="007D56D8"/>
    <w:rsid w:val="007E5B9C"/>
    <w:rsid w:val="007F7205"/>
    <w:rsid w:val="008134F0"/>
    <w:rsid w:val="00815B71"/>
    <w:rsid w:val="00820893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43E1"/>
    <w:rsid w:val="00935348"/>
    <w:rsid w:val="00936D8A"/>
    <w:rsid w:val="0094187E"/>
    <w:rsid w:val="00956C96"/>
    <w:rsid w:val="009844D9"/>
    <w:rsid w:val="00987661"/>
    <w:rsid w:val="009A5419"/>
    <w:rsid w:val="009B080D"/>
    <w:rsid w:val="009B41AA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5AB8"/>
    <w:rsid w:val="00A229B4"/>
    <w:rsid w:val="00A27D10"/>
    <w:rsid w:val="00A329C7"/>
    <w:rsid w:val="00A44D1F"/>
    <w:rsid w:val="00A647FC"/>
    <w:rsid w:val="00A76311"/>
    <w:rsid w:val="00A822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7544"/>
    <w:rsid w:val="00B03A0A"/>
    <w:rsid w:val="00B11E10"/>
    <w:rsid w:val="00B13E62"/>
    <w:rsid w:val="00B167B5"/>
    <w:rsid w:val="00B27675"/>
    <w:rsid w:val="00B70AF3"/>
    <w:rsid w:val="00B71AB1"/>
    <w:rsid w:val="00B82725"/>
    <w:rsid w:val="00BA5D76"/>
    <w:rsid w:val="00BB562E"/>
    <w:rsid w:val="00BB5A54"/>
    <w:rsid w:val="00BB6872"/>
    <w:rsid w:val="00BC06DC"/>
    <w:rsid w:val="00BC4D51"/>
    <w:rsid w:val="00BD3233"/>
    <w:rsid w:val="00BD40EB"/>
    <w:rsid w:val="00BE435C"/>
    <w:rsid w:val="00C0249D"/>
    <w:rsid w:val="00C36728"/>
    <w:rsid w:val="00C4599D"/>
    <w:rsid w:val="00C465C7"/>
    <w:rsid w:val="00C47743"/>
    <w:rsid w:val="00C518DE"/>
    <w:rsid w:val="00C543F5"/>
    <w:rsid w:val="00C5481E"/>
    <w:rsid w:val="00C61BAA"/>
    <w:rsid w:val="00C61D7E"/>
    <w:rsid w:val="00C67781"/>
    <w:rsid w:val="00C714DA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179"/>
    <w:rsid w:val="00D66A0F"/>
    <w:rsid w:val="00D9387B"/>
    <w:rsid w:val="00DA51DD"/>
    <w:rsid w:val="00DB1E16"/>
    <w:rsid w:val="00DB7CFB"/>
    <w:rsid w:val="00DC5D1A"/>
    <w:rsid w:val="00DD179F"/>
    <w:rsid w:val="00DD5022"/>
    <w:rsid w:val="00DF07D0"/>
    <w:rsid w:val="00DF1176"/>
    <w:rsid w:val="00DF416D"/>
    <w:rsid w:val="00DF6C04"/>
    <w:rsid w:val="00E05329"/>
    <w:rsid w:val="00E115C2"/>
    <w:rsid w:val="00E12B6C"/>
    <w:rsid w:val="00E43BAE"/>
    <w:rsid w:val="00E62945"/>
    <w:rsid w:val="00E644B4"/>
    <w:rsid w:val="00E70432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893"/>
    <w:rsid w:val="00F0419A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D222C"/>
    <w:rsid w:val="00FD3E92"/>
    <w:rsid w:val="00FD7C99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D15BE6C5-A794-48C0-B425-5547DE6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  <w:style w:type="character" w:styleId="NichtaufgelsteErwhnung">
    <w:name w:val="Unresolved Mention"/>
    <w:basedOn w:val="Absatz-Standardschriftart"/>
    <w:uiPriority w:val="99"/>
    <w:semiHidden/>
    <w:unhideWhenUsed/>
    <w:rsid w:val="0044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achsam.de/quellen.htm" TargetMode="External"/><Relationship Id="rId18" Type="http://schemas.openxmlformats.org/officeDocument/2006/relationships/hyperlink" Target="https://www.teachsam.de/quellen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eachsam.de/quellen.htm" TargetMode="External"/><Relationship Id="rId17" Type="http://schemas.openxmlformats.org/officeDocument/2006/relationships/hyperlink" Target="https://www.teachsam.de/quell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sam.de/quellen.htm" TargetMode="External"/><Relationship Id="rId20" Type="http://schemas.openxmlformats.org/officeDocument/2006/relationships/hyperlink" Target="https://www.teachsam.de/deutsch/d_literatur/d_gat/d_drama/drama_2_0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eachsam.de/quellen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teachsam.de/quellen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teachsam.de/quellen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26A33-6ED3-477B-A3F7-EED237B9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2014-04-18T15:49:00Z</cp:lastPrinted>
  <dcterms:created xsi:type="dcterms:W3CDTF">2020-05-31T14:38:00Z</dcterms:created>
  <dcterms:modified xsi:type="dcterms:W3CDTF">2020-05-31T15:08:00Z</dcterms:modified>
</cp:coreProperties>
</file>