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03843" w14:textId="3B2C10A9" w:rsidR="00732267" w:rsidRPr="00BD35B7" w:rsidRDefault="002C5A3A" w:rsidP="0045272E">
      <w:pPr>
        <w:spacing w:after="120"/>
        <w:rPr>
          <w:color w:val="365F91" w:themeColor="accent1" w:themeShade="BF"/>
          <w:sz w:val="2"/>
        </w:rPr>
      </w:pPr>
      <w:r>
        <w:rPr>
          <w:bCs/>
          <w:color w:val="365F91" w:themeColor="accent1" w:themeShade="BF"/>
          <w:sz w:val="24"/>
        </w:rPr>
        <w:t>Analyse der dramatischen Rede</w:t>
      </w:r>
      <w:r>
        <w:rPr>
          <w:bCs/>
          <w:color w:val="365F91" w:themeColor="accent1" w:themeShade="BF"/>
          <w:sz w:val="24"/>
        </w:rPr>
        <w:br/>
      </w:r>
      <w:r>
        <w:rPr>
          <w:b/>
          <w:color w:val="365F91" w:themeColor="accent1" w:themeShade="BF"/>
          <w:sz w:val="28"/>
          <w:szCs w:val="28"/>
        </w:rPr>
        <w:t>Formen des Gesprächs im Drama</w:t>
      </w:r>
      <w:r w:rsidR="0031735B" w:rsidRPr="00BD35B7">
        <w:rPr>
          <w:b/>
          <w:color w:val="365F91" w:themeColor="accent1" w:themeShade="BF"/>
          <w:sz w:val="32"/>
        </w:rPr>
        <w:t xml:space="preserve"> </w:t>
      </w:r>
    </w:p>
    <w:p w14:paraId="6EF7507E" w14:textId="77777777" w:rsidR="0068413E" w:rsidRPr="001C4662" w:rsidRDefault="0068413E" w:rsidP="0045272E">
      <w:pPr>
        <w:spacing w:after="120"/>
        <w:jc w:val="center"/>
        <w:rPr>
          <w:b/>
          <w:sz w:val="2"/>
        </w:rPr>
        <w:sectPr w:rsidR="0068413E" w:rsidRPr="001C4662" w:rsidSect="00F554B4">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pPr>
    </w:p>
    <w:p w14:paraId="26593340" w14:textId="77777777" w:rsidR="002C5A3A" w:rsidRPr="007C4D23" w:rsidRDefault="002C5A3A" w:rsidP="007C4D23">
      <w:pPr>
        <w:spacing w:after="120"/>
        <w:jc w:val="both"/>
        <w:rPr>
          <w:sz w:val="22"/>
          <w:szCs w:val="28"/>
        </w:rPr>
      </w:pPr>
      <w:bookmarkStart w:id="0" w:name="_MON_1072717554"/>
      <w:bookmarkStart w:id="1" w:name="_MON_1076167455"/>
      <w:bookmarkStart w:id="2" w:name="_MON_1051543824"/>
      <w:bookmarkEnd w:id="0"/>
      <w:bookmarkEnd w:id="1"/>
      <w:bookmarkEnd w:id="2"/>
      <w:r w:rsidRPr="007C4D23">
        <w:rPr>
          <w:sz w:val="22"/>
          <w:szCs w:val="28"/>
        </w:rPr>
        <w:t>Beilhardt u. a. (1975) unterscheiden auf der Basis des sozialen Gestus der Sprache und der in ihnen wirksamen kommunikativen Handlungen sieben verschiedene „empirische Grundformen (Typen) des Gesprächs sowie der Dialoge im Drama (Strukturen der Kommunikation“ (ebd. S. 13)</w:t>
      </w:r>
    </w:p>
    <w:p w14:paraId="470FD925" w14:textId="0F943A2D" w:rsidR="002C5A3A" w:rsidRPr="007C4D23" w:rsidRDefault="002C5A3A" w:rsidP="007C4D23">
      <w:pPr>
        <w:spacing w:after="120"/>
        <w:jc w:val="both"/>
        <w:rPr>
          <w:sz w:val="22"/>
          <w:szCs w:val="28"/>
        </w:rPr>
      </w:pPr>
      <w:r w:rsidRPr="007C4D23">
        <w:rPr>
          <w:sz w:val="22"/>
          <w:szCs w:val="28"/>
        </w:rPr>
        <w:t>Dabei gehen sie davon aus, dass die "Formen des Dialogs als Formen sprachlichen und literarischen Vermittlung des »zwischenmenschlichen Bezugs« (...) zugleich auf die historisch und gesellschaftlich gegebenen Bedingungen, Möglichkeiten und Formen der wirklichen gesellschaftlich Gespräche und Gesprächabläufe (verweisen)."</w:t>
      </w:r>
      <w:r w:rsidR="00AE30DB">
        <w:rPr>
          <w:sz w:val="22"/>
          <w:szCs w:val="28"/>
        </w:rPr>
        <w:t xml:space="preserve"> </w:t>
      </w:r>
    </w:p>
    <w:p w14:paraId="10177D17" w14:textId="674C5F3B" w:rsidR="002C5A3A" w:rsidRPr="007C4D23" w:rsidRDefault="002C5A3A" w:rsidP="007C4D23">
      <w:pPr>
        <w:spacing w:after="120"/>
        <w:jc w:val="both"/>
        <w:rPr>
          <w:sz w:val="22"/>
          <w:szCs w:val="28"/>
        </w:rPr>
      </w:pPr>
      <w:r w:rsidRPr="007C4D23">
        <w:rPr>
          <w:sz w:val="22"/>
          <w:szCs w:val="28"/>
        </w:rPr>
        <w:t xml:space="preserve">Daher reicht ihrer Ansicht nach die Analyse der sprachlichen Kommunikation im Drama auch über die Gattung hinaus. Denn  "Dialoge im Drama (können) als Modelle der sprachlichen Kommunikation gelten und auf dieser Ebene auch der Erforschung realer Kommunikationsprozesse dienen." (ebd., S.6) Auch wenn die Autoren die "zu bedenkenden Eigengesetzlichkeiten" der literarischen Form und Gattung einräumen, kann diesem Urteil, insbesondere unter gesprächsanalytischer Sicht, so nicht ohne Weiteres zugestimmt werden. Denn </w:t>
      </w:r>
      <w:r w:rsidRPr="007C4D23">
        <w:rPr>
          <w:b/>
          <w:bCs/>
          <w:sz w:val="22"/>
          <w:szCs w:val="28"/>
        </w:rPr>
        <w:t>literarische Dialoge</w:t>
      </w:r>
      <w:r w:rsidRPr="007C4D23">
        <w:rPr>
          <w:sz w:val="22"/>
          <w:szCs w:val="28"/>
        </w:rPr>
        <w:t xml:space="preserve"> wie z. B. die dramatische Rede, sind immer "künstliche" Gespräche, auch wenn sich mitunter Annäherungen an die gesprochene Sprache einer bestimmten Zeit aufzeigen lassen. Dies kommt vor allem dann vor, wenn eine umgangssprachliche Gestaltung der dramatischen Rede aus dramaturgisch-dramentheoretischen Gründen angestrebt wird (z. B. im naturalistischen Drama). (vgl. Brinker/Sager 1989, S.13).</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27"/>
        <w:gridCol w:w="16"/>
        <w:gridCol w:w="5531"/>
      </w:tblGrid>
      <w:tr w:rsidR="002C5A3A" w:rsidRPr="007C4D23" w14:paraId="691DEE4C" w14:textId="77777777" w:rsidTr="007C4D23">
        <w:tblPrEx>
          <w:tblCellMar>
            <w:top w:w="0" w:type="dxa"/>
            <w:bottom w:w="0" w:type="dxa"/>
          </w:tblCellMar>
        </w:tblPrEx>
        <w:tc>
          <w:tcPr>
            <w:tcW w:w="1843" w:type="dxa"/>
          </w:tcPr>
          <w:p w14:paraId="7026A84E" w14:textId="4706EDDC" w:rsidR="002C5A3A" w:rsidRPr="007C4D23" w:rsidRDefault="002C5A3A" w:rsidP="007C4D23">
            <w:pPr>
              <w:spacing w:beforeLines="60" w:before="144" w:afterLines="60" w:after="144"/>
              <w:rPr>
                <w:rFonts w:asciiTheme="majorHAnsi" w:hAnsiTheme="majorHAnsi"/>
                <w:b/>
                <w:bCs/>
                <w:sz w:val="22"/>
                <w:szCs w:val="28"/>
              </w:rPr>
            </w:pPr>
            <w:r w:rsidRPr="007C4D23">
              <w:rPr>
                <w:rFonts w:asciiTheme="majorHAnsi" w:hAnsiTheme="majorHAnsi"/>
                <w:b/>
                <w:bCs/>
                <w:sz w:val="22"/>
                <w:szCs w:val="28"/>
              </w:rPr>
              <w:t>Verhörgespräche</w:t>
            </w:r>
          </w:p>
        </w:tc>
        <w:tc>
          <w:tcPr>
            <w:tcW w:w="1827" w:type="dxa"/>
          </w:tcPr>
          <w:p w14:paraId="1613A715" w14:textId="77777777" w:rsidR="002C5A3A" w:rsidRPr="007C4D23" w:rsidRDefault="002C5A3A" w:rsidP="007C4D23">
            <w:pPr>
              <w:pStyle w:val="Kopfzeile"/>
              <w:tabs>
                <w:tab w:val="clear" w:pos="4536"/>
                <w:tab w:val="clear" w:pos="9072"/>
              </w:tabs>
              <w:spacing w:beforeLines="60" w:before="144" w:afterLines="60" w:after="144"/>
              <w:rPr>
                <w:rFonts w:asciiTheme="majorHAnsi" w:hAnsiTheme="majorHAnsi"/>
                <w:sz w:val="22"/>
                <w:szCs w:val="28"/>
              </w:rPr>
            </w:pPr>
            <w:r w:rsidRPr="007C4D23">
              <w:rPr>
                <w:rFonts w:asciiTheme="majorHAnsi" w:hAnsiTheme="majorHAnsi"/>
                <w:sz w:val="22"/>
                <w:szCs w:val="28"/>
              </w:rPr>
              <w:t xml:space="preserve">Gestus des Verhörens </w:t>
            </w:r>
          </w:p>
        </w:tc>
        <w:tc>
          <w:tcPr>
            <w:tcW w:w="5547" w:type="dxa"/>
            <w:gridSpan w:val="2"/>
          </w:tcPr>
          <w:p w14:paraId="0AFD9617" w14:textId="77777777" w:rsidR="002C5A3A" w:rsidRPr="007C4D23" w:rsidRDefault="002C5A3A"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Modus der asymmetrischen Kommunikation von vornherein festgelegt</w:t>
            </w:r>
          </w:p>
          <w:p w14:paraId="3D73B271" w14:textId="77777777" w:rsidR="002C5A3A" w:rsidRPr="007C4D23" w:rsidRDefault="002C5A3A" w:rsidP="0011134E">
            <w:pPr>
              <w:numPr>
                <w:ilvl w:val="0"/>
                <w:numId w:val="2"/>
              </w:numPr>
              <w:spacing w:before="60" w:after="60"/>
              <w:rPr>
                <w:rFonts w:asciiTheme="majorHAnsi" w:hAnsiTheme="majorHAnsi"/>
                <w:sz w:val="22"/>
                <w:szCs w:val="28"/>
              </w:rPr>
            </w:pPr>
            <w:r w:rsidRPr="007C4D23">
              <w:rPr>
                <w:rFonts w:asciiTheme="majorHAnsi" w:hAnsiTheme="majorHAnsi"/>
                <w:sz w:val="22"/>
                <w:szCs w:val="28"/>
              </w:rPr>
              <w:t xml:space="preserve">Geltungsansprüche unterliegen den institutionellen Bedingungen und den Randbedingungen des Verhörs </w:t>
            </w:r>
          </w:p>
          <w:p w14:paraId="1A917AD6" w14:textId="77777777" w:rsidR="002C5A3A" w:rsidRPr="007C4D23" w:rsidRDefault="002C5A3A" w:rsidP="0011134E">
            <w:pPr>
              <w:numPr>
                <w:ilvl w:val="0"/>
                <w:numId w:val="2"/>
              </w:numPr>
              <w:spacing w:before="60" w:after="60"/>
              <w:rPr>
                <w:rFonts w:asciiTheme="majorHAnsi" w:hAnsiTheme="majorHAnsi"/>
                <w:sz w:val="22"/>
                <w:szCs w:val="28"/>
              </w:rPr>
            </w:pPr>
            <w:r w:rsidRPr="007C4D23">
              <w:rPr>
                <w:rFonts w:asciiTheme="majorHAnsi" w:hAnsiTheme="majorHAnsi"/>
                <w:sz w:val="22"/>
                <w:szCs w:val="28"/>
              </w:rPr>
              <w:t>Umrisse herrschaftsgebundener Kommunikation sichtbar</w:t>
            </w:r>
          </w:p>
          <w:p w14:paraId="5A2218CA" w14:textId="77777777" w:rsidR="002C5A3A" w:rsidRPr="007C4D23" w:rsidRDefault="002C5A3A" w:rsidP="0011134E">
            <w:pPr>
              <w:numPr>
                <w:ilvl w:val="0"/>
                <w:numId w:val="3"/>
              </w:numPr>
              <w:spacing w:before="60" w:after="60"/>
              <w:ind w:left="714" w:hanging="357"/>
              <w:rPr>
                <w:rFonts w:asciiTheme="majorHAnsi" w:hAnsiTheme="majorHAnsi"/>
                <w:sz w:val="22"/>
                <w:szCs w:val="28"/>
              </w:rPr>
            </w:pPr>
            <w:r w:rsidRPr="007C4D23">
              <w:rPr>
                <w:rFonts w:asciiTheme="majorHAnsi" w:hAnsiTheme="majorHAnsi"/>
                <w:sz w:val="22"/>
                <w:szCs w:val="28"/>
              </w:rPr>
              <w:t>Rollentausch von Verhörendem und Verhörtem höchstens vorübergehend möglich</w:t>
            </w:r>
          </w:p>
        </w:tc>
      </w:tr>
      <w:tr w:rsidR="002C5A3A" w:rsidRPr="007C4D23" w14:paraId="002F8C64" w14:textId="77777777" w:rsidTr="007C4D23">
        <w:tblPrEx>
          <w:tblCellMar>
            <w:top w:w="0" w:type="dxa"/>
            <w:bottom w:w="0" w:type="dxa"/>
          </w:tblCellMar>
        </w:tblPrEx>
        <w:tc>
          <w:tcPr>
            <w:tcW w:w="1843" w:type="dxa"/>
          </w:tcPr>
          <w:p w14:paraId="3C4BCF8C" w14:textId="77777777" w:rsidR="002C5A3A" w:rsidRPr="007C4D23" w:rsidRDefault="002C5A3A" w:rsidP="007C4D23">
            <w:pPr>
              <w:spacing w:beforeLines="60" w:before="144" w:afterLines="60" w:after="144"/>
              <w:rPr>
                <w:rFonts w:asciiTheme="majorHAnsi" w:hAnsiTheme="majorHAnsi"/>
                <w:b/>
                <w:bCs/>
                <w:sz w:val="22"/>
                <w:szCs w:val="28"/>
              </w:rPr>
            </w:pPr>
            <w:r w:rsidRPr="007C4D23">
              <w:rPr>
                <w:rFonts w:asciiTheme="majorHAnsi" w:hAnsiTheme="majorHAnsi"/>
                <w:b/>
                <w:bCs/>
                <w:sz w:val="22"/>
                <w:szCs w:val="28"/>
              </w:rPr>
              <w:t>Interview-Gespräche</w:t>
            </w:r>
          </w:p>
        </w:tc>
        <w:tc>
          <w:tcPr>
            <w:tcW w:w="1827" w:type="dxa"/>
          </w:tcPr>
          <w:p w14:paraId="436603F4" w14:textId="77777777" w:rsidR="002C5A3A" w:rsidRPr="007C4D23" w:rsidRDefault="002C5A3A" w:rsidP="007C4D23">
            <w:pPr>
              <w:spacing w:beforeLines="60" w:before="144" w:afterLines="60" w:after="144"/>
              <w:rPr>
                <w:rFonts w:asciiTheme="majorHAnsi" w:hAnsiTheme="majorHAnsi"/>
                <w:sz w:val="22"/>
                <w:szCs w:val="28"/>
              </w:rPr>
            </w:pPr>
            <w:r w:rsidRPr="007C4D23">
              <w:rPr>
                <w:rFonts w:asciiTheme="majorHAnsi" w:hAnsiTheme="majorHAnsi"/>
                <w:sz w:val="22"/>
                <w:szCs w:val="28"/>
              </w:rPr>
              <w:t>Gestus des Befragens und Erkundens</w:t>
            </w:r>
          </w:p>
        </w:tc>
        <w:tc>
          <w:tcPr>
            <w:tcW w:w="5547" w:type="dxa"/>
            <w:gridSpan w:val="2"/>
          </w:tcPr>
          <w:p w14:paraId="3BB2762B" w14:textId="77777777" w:rsidR="002C5A3A" w:rsidRPr="007C4D23" w:rsidRDefault="002C5A3A"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Inhaltsaspekt im Vordergrund der Kommunikation</w:t>
            </w:r>
          </w:p>
          <w:p w14:paraId="486C10E2" w14:textId="77777777" w:rsidR="002C5A3A" w:rsidRPr="007C4D23" w:rsidRDefault="002C5A3A"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Sprecherbeziehung prinzipiell symmetrisch</w:t>
            </w:r>
          </w:p>
          <w:p w14:paraId="74D08FF4" w14:textId="44631122" w:rsidR="002C5A3A" w:rsidRPr="007C4D23" w:rsidRDefault="002C5A3A"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aber:  Annäherung an Verhörgespräch möglich, „sobald der Fragende in seiner Art des Fragens bestimmte (von verdeckt gewollte) Antworten unterstellt“ (</w:t>
            </w:r>
            <w:r w:rsidR="00AE30DB">
              <w:rPr>
                <w:rFonts w:asciiTheme="majorHAnsi" w:hAnsiTheme="majorHAnsi"/>
                <w:sz w:val="22"/>
                <w:szCs w:val="28"/>
              </w:rPr>
              <w:t>Beilhardt u.a 1975</w:t>
            </w:r>
            <w:r w:rsidRPr="007C4D23">
              <w:rPr>
                <w:rFonts w:asciiTheme="majorHAnsi" w:hAnsiTheme="majorHAnsi"/>
                <w:sz w:val="22"/>
                <w:szCs w:val="28"/>
              </w:rPr>
              <w:t>, S. 13)</w:t>
            </w:r>
          </w:p>
        </w:tc>
      </w:tr>
      <w:tr w:rsidR="002C5A3A" w:rsidRPr="007C4D23" w14:paraId="6C36EE5C" w14:textId="77777777" w:rsidTr="007C4D23">
        <w:tblPrEx>
          <w:tblCellMar>
            <w:top w:w="0" w:type="dxa"/>
            <w:bottom w:w="0" w:type="dxa"/>
          </w:tblCellMar>
        </w:tblPrEx>
        <w:tc>
          <w:tcPr>
            <w:tcW w:w="1843" w:type="dxa"/>
          </w:tcPr>
          <w:p w14:paraId="3B297879" w14:textId="77EE3FCF" w:rsidR="002C5A3A" w:rsidRPr="007C4D23" w:rsidRDefault="002C5A3A" w:rsidP="007C4D23">
            <w:pPr>
              <w:spacing w:beforeLines="60" w:before="144" w:afterLines="60" w:after="144"/>
              <w:rPr>
                <w:rFonts w:asciiTheme="majorHAnsi" w:hAnsiTheme="majorHAnsi"/>
                <w:b/>
                <w:bCs/>
                <w:sz w:val="22"/>
                <w:szCs w:val="28"/>
              </w:rPr>
            </w:pPr>
            <w:r w:rsidRPr="007C4D23">
              <w:rPr>
                <w:rFonts w:asciiTheme="majorHAnsi" w:hAnsiTheme="majorHAnsi"/>
                <w:b/>
                <w:bCs/>
                <w:sz w:val="22"/>
                <w:szCs w:val="28"/>
              </w:rPr>
              <w:t>Enthüllungs-</w:t>
            </w:r>
            <w:r w:rsidR="007C4D23">
              <w:rPr>
                <w:rFonts w:asciiTheme="majorHAnsi" w:hAnsiTheme="majorHAnsi"/>
                <w:b/>
                <w:bCs/>
                <w:sz w:val="22"/>
                <w:szCs w:val="28"/>
              </w:rPr>
              <w:br/>
            </w:r>
            <w:r w:rsidRPr="007C4D23">
              <w:rPr>
                <w:rFonts w:asciiTheme="majorHAnsi" w:hAnsiTheme="majorHAnsi"/>
                <w:b/>
                <w:bCs/>
                <w:sz w:val="22"/>
                <w:szCs w:val="28"/>
              </w:rPr>
              <w:t>gespräche</w:t>
            </w:r>
          </w:p>
        </w:tc>
        <w:tc>
          <w:tcPr>
            <w:tcW w:w="1827" w:type="dxa"/>
          </w:tcPr>
          <w:p w14:paraId="40FF90E0" w14:textId="77777777" w:rsidR="002C5A3A" w:rsidRPr="007C4D23" w:rsidRDefault="002C5A3A" w:rsidP="007C4D23">
            <w:pPr>
              <w:spacing w:beforeLines="60" w:before="144" w:afterLines="60" w:after="144"/>
              <w:rPr>
                <w:rFonts w:asciiTheme="majorHAnsi" w:hAnsiTheme="majorHAnsi"/>
                <w:sz w:val="22"/>
                <w:szCs w:val="28"/>
              </w:rPr>
            </w:pPr>
            <w:r w:rsidRPr="007C4D23">
              <w:rPr>
                <w:rFonts w:asciiTheme="majorHAnsi" w:hAnsiTheme="majorHAnsi"/>
                <w:sz w:val="22"/>
                <w:szCs w:val="28"/>
              </w:rPr>
              <w:t>Gestus des wechselseitigen zudringlichen Enthüllens, Entlarvens, Demaskierens</w:t>
            </w:r>
          </w:p>
        </w:tc>
        <w:tc>
          <w:tcPr>
            <w:tcW w:w="5547" w:type="dxa"/>
            <w:gridSpan w:val="2"/>
          </w:tcPr>
          <w:p w14:paraId="2765BE37" w14:textId="77777777" w:rsidR="002C5A3A" w:rsidRPr="007C4D23" w:rsidRDefault="002C5A3A"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 xml:space="preserve">häufig rückwärtsgerichtet, da das zu Enthüllende meist in der Vergangenheit liegt </w:t>
            </w:r>
          </w:p>
          <w:p w14:paraId="053EF97C" w14:textId="77777777" w:rsidR="002C5A3A" w:rsidRPr="007C4D23" w:rsidRDefault="002C5A3A"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Beziehungsaspekt meist im Vordergrund</w:t>
            </w:r>
          </w:p>
          <w:p w14:paraId="5BF5B1AF" w14:textId="77777777" w:rsidR="002C5A3A" w:rsidRPr="007C4D23" w:rsidRDefault="002C5A3A"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inhaltlich borniert, ohne Anspruch auf inhaltliche Klärung mit wechselseitigem Vorwurf des Nicht-verstehen-Wollens</w:t>
            </w:r>
          </w:p>
          <w:p w14:paraId="7BAE63C8" w14:textId="77777777" w:rsidR="002C5A3A" w:rsidRPr="007C4D23" w:rsidRDefault="002C5A3A" w:rsidP="0011134E">
            <w:pPr>
              <w:numPr>
                <w:ilvl w:val="0"/>
                <w:numId w:val="2"/>
              </w:numPr>
              <w:spacing w:before="60" w:after="120"/>
              <w:ind w:left="714" w:hanging="357"/>
              <w:rPr>
                <w:rFonts w:asciiTheme="majorHAnsi" w:hAnsiTheme="majorHAnsi"/>
                <w:sz w:val="22"/>
                <w:szCs w:val="28"/>
              </w:rPr>
            </w:pPr>
            <w:r w:rsidRPr="007C4D23">
              <w:rPr>
                <w:rFonts w:asciiTheme="majorHAnsi" w:hAnsiTheme="majorHAnsi"/>
                <w:sz w:val="22"/>
                <w:szCs w:val="28"/>
              </w:rPr>
              <w:t>(unversöhnliche gestaltete) symmetrische Struktur in wechselseitiger Selbst-Behauptung mit symmetrischer Eskalation</w:t>
            </w:r>
          </w:p>
        </w:tc>
      </w:tr>
      <w:tr w:rsidR="007C4D23" w:rsidRPr="007C4D23" w14:paraId="762F681E" w14:textId="77777777" w:rsidTr="007C4D23">
        <w:tblPrEx>
          <w:tblCellMar>
            <w:top w:w="0" w:type="dxa"/>
            <w:bottom w:w="0" w:type="dxa"/>
          </w:tblCellMar>
        </w:tblPrEx>
        <w:tc>
          <w:tcPr>
            <w:tcW w:w="1843" w:type="dxa"/>
          </w:tcPr>
          <w:p w14:paraId="2569BC22" w14:textId="0A12DF30" w:rsidR="007C4D23" w:rsidRPr="007C4D23" w:rsidRDefault="007C4D23" w:rsidP="007C4D23">
            <w:pPr>
              <w:spacing w:beforeLines="60" w:before="144" w:afterLines="60" w:after="144"/>
              <w:rPr>
                <w:rFonts w:asciiTheme="majorHAnsi" w:hAnsiTheme="majorHAnsi"/>
                <w:b/>
                <w:bCs/>
                <w:sz w:val="22"/>
                <w:szCs w:val="28"/>
              </w:rPr>
            </w:pPr>
            <w:r w:rsidRPr="007C4D23">
              <w:rPr>
                <w:rFonts w:asciiTheme="majorHAnsi" w:hAnsiTheme="majorHAnsi"/>
                <w:b/>
                <w:bCs/>
                <w:sz w:val="22"/>
                <w:szCs w:val="28"/>
              </w:rPr>
              <w:lastRenderedPageBreak/>
              <w:t xml:space="preserve">Zerstreute und zerfallene </w:t>
            </w:r>
            <w:r>
              <w:rPr>
                <w:rFonts w:asciiTheme="majorHAnsi" w:hAnsiTheme="majorHAnsi"/>
                <w:b/>
                <w:bCs/>
                <w:sz w:val="22"/>
                <w:szCs w:val="28"/>
              </w:rPr>
              <w:br/>
            </w:r>
            <w:r w:rsidRPr="007C4D23">
              <w:rPr>
                <w:rFonts w:asciiTheme="majorHAnsi" w:hAnsiTheme="majorHAnsi"/>
                <w:b/>
                <w:bCs/>
                <w:sz w:val="22"/>
                <w:szCs w:val="28"/>
              </w:rPr>
              <w:t>Gespräche</w:t>
            </w:r>
          </w:p>
        </w:tc>
        <w:tc>
          <w:tcPr>
            <w:tcW w:w="1843" w:type="dxa"/>
            <w:gridSpan w:val="2"/>
          </w:tcPr>
          <w:p w14:paraId="6463265D" w14:textId="6B766DB5" w:rsidR="007C4D23" w:rsidRPr="007C4D23" w:rsidRDefault="007C4D23" w:rsidP="007C4D23">
            <w:pPr>
              <w:spacing w:beforeLines="60" w:before="144" w:afterLines="60" w:after="144"/>
              <w:rPr>
                <w:rFonts w:asciiTheme="majorHAnsi" w:hAnsiTheme="majorHAnsi"/>
                <w:sz w:val="22"/>
                <w:szCs w:val="28"/>
              </w:rPr>
            </w:pPr>
            <w:r w:rsidRPr="007C4D23">
              <w:rPr>
                <w:rFonts w:asciiTheme="majorHAnsi" w:hAnsiTheme="majorHAnsi"/>
                <w:sz w:val="22"/>
                <w:szCs w:val="28"/>
              </w:rPr>
              <w:t>Gestus der Beziehungslosigkeit und der Zusammen-hanglosigkeit</w:t>
            </w:r>
            <w:r w:rsidR="00AE30DB">
              <w:rPr>
                <w:rFonts w:asciiTheme="majorHAnsi" w:hAnsiTheme="majorHAnsi"/>
                <w:sz w:val="22"/>
                <w:szCs w:val="28"/>
              </w:rPr>
              <w:t>,</w:t>
            </w:r>
            <w:r w:rsidRPr="007C4D23">
              <w:rPr>
                <w:rFonts w:asciiTheme="majorHAnsi" w:hAnsiTheme="majorHAnsi"/>
                <w:sz w:val="22"/>
                <w:szCs w:val="28"/>
              </w:rPr>
              <w:t xml:space="preserve"> des Aneinandervorbeiredens</w:t>
            </w:r>
          </w:p>
        </w:tc>
        <w:tc>
          <w:tcPr>
            <w:tcW w:w="5531" w:type="dxa"/>
          </w:tcPr>
          <w:p w14:paraId="4AC39899" w14:textId="77777777"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Aneinandervorbeireden, das den Beziehungsaspekt der Kommunikation negiert</w:t>
            </w:r>
          </w:p>
          <w:p w14:paraId="4CC2051D" w14:textId="77777777"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Inhaltliche Verständigung über Sachverhalte misslingt angesichts unterschiedlicher Voraussetzungen der Sprecher</w:t>
            </w:r>
          </w:p>
          <w:p w14:paraId="4A4B1A14" w14:textId="77777777"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Symmetrie der Gesprächszerstörung, Symmetrie der Sinn-Aufspaltung („absurdes Gespräch“)</w:t>
            </w:r>
          </w:p>
          <w:p w14:paraId="3E34445D" w14:textId="77777777" w:rsidR="007C4D23" w:rsidRPr="007C4D23" w:rsidRDefault="007C4D23" w:rsidP="0011134E">
            <w:pPr>
              <w:numPr>
                <w:ilvl w:val="0"/>
                <w:numId w:val="2"/>
              </w:numPr>
              <w:spacing w:before="60" w:after="120"/>
              <w:ind w:left="714" w:hanging="357"/>
              <w:rPr>
                <w:rFonts w:asciiTheme="majorHAnsi" w:hAnsiTheme="majorHAnsi"/>
                <w:sz w:val="22"/>
                <w:szCs w:val="28"/>
              </w:rPr>
            </w:pPr>
            <w:r w:rsidRPr="007C4D23">
              <w:rPr>
                <w:rFonts w:asciiTheme="majorHAnsi" w:hAnsiTheme="majorHAnsi"/>
                <w:sz w:val="22"/>
                <w:szCs w:val="28"/>
              </w:rPr>
              <w:t>z. T. dennoch sehr wortreich gestalteter Verständigungs- und Beziehungsleerlauf</w:t>
            </w:r>
          </w:p>
        </w:tc>
      </w:tr>
      <w:tr w:rsidR="007C4D23" w14:paraId="456D4182" w14:textId="77777777" w:rsidTr="007C4D23">
        <w:tblPrEx>
          <w:tblCellMar>
            <w:top w:w="0" w:type="dxa"/>
            <w:bottom w:w="0" w:type="dxa"/>
          </w:tblCellMar>
        </w:tblPrEx>
        <w:tc>
          <w:tcPr>
            <w:tcW w:w="1843" w:type="dxa"/>
          </w:tcPr>
          <w:p w14:paraId="13BA39EB" w14:textId="20453032" w:rsidR="007C4D23" w:rsidRPr="007C4D23" w:rsidRDefault="007C4D23" w:rsidP="007C4D23">
            <w:pPr>
              <w:spacing w:beforeLines="60" w:before="144" w:afterLines="60" w:after="144"/>
              <w:rPr>
                <w:rFonts w:asciiTheme="majorHAnsi" w:hAnsiTheme="majorHAnsi"/>
                <w:b/>
                <w:bCs/>
                <w:sz w:val="22"/>
                <w:szCs w:val="28"/>
              </w:rPr>
            </w:pPr>
            <w:r w:rsidRPr="007C4D23">
              <w:rPr>
                <w:rFonts w:asciiTheme="majorHAnsi" w:hAnsiTheme="majorHAnsi"/>
                <w:b/>
                <w:bCs/>
                <w:sz w:val="22"/>
                <w:szCs w:val="28"/>
              </w:rPr>
              <w:t>Einschüchterungsgespräche</w:t>
            </w:r>
          </w:p>
        </w:tc>
        <w:tc>
          <w:tcPr>
            <w:tcW w:w="1843" w:type="dxa"/>
            <w:gridSpan w:val="2"/>
          </w:tcPr>
          <w:p w14:paraId="6A4C98F4" w14:textId="77777777" w:rsidR="007C4D23" w:rsidRPr="007C4D23" w:rsidRDefault="007C4D23" w:rsidP="007C4D23">
            <w:pPr>
              <w:spacing w:beforeLines="60" w:before="144" w:afterLines="60" w:after="144"/>
              <w:rPr>
                <w:rFonts w:asciiTheme="majorHAnsi" w:hAnsiTheme="majorHAnsi"/>
                <w:sz w:val="22"/>
                <w:szCs w:val="28"/>
              </w:rPr>
            </w:pPr>
            <w:r w:rsidRPr="007C4D23">
              <w:rPr>
                <w:rFonts w:asciiTheme="majorHAnsi" w:hAnsiTheme="majorHAnsi"/>
                <w:sz w:val="22"/>
                <w:szCs w:val="28"/>
              </w:rPr>
              <w:t>Gestus des sprachlosen / sprachohn-mächtigen Befehlens und Bestrafens</w:t>
            </w:r>
          </w:p>
        </w:tc>
        <w:tc>
          <w:tcPr>
            <w:tcW w:w="5531" w:type="dxa"/>
          </w:tcPr>
          <w:p w14:paraId="1794A568" w14:textId="3A92CE67"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herrschaftsorientierte asymmetrische Kommuni</w:t>
            </w:r>
            <w:r w:rsidR="00AE30DB">
              <w:rPr>
                <w:rFonts w:asciiTheme="majorHAnsi" w:hAnsiTheme="majorHAnsi"/>
                <w:sz w:val="22"/>
                <w:szCs w:val="28"/>
              </w:rPr>
              <w:t>-</w:t>
            </w:r>
            <w:r w:rsidR="00AE30DB">
              <w:rPr>
                <w:rFonts w:asciiTheme="majorHAnsi" w:hAnsiTheme="majorHAnsi"/>
                <w:sz w:val="22"/>
                <w:szCs w:val="28"/>
              </w:rPr>
              <w:br/>
            </w:r>
            <w:r w:rsidRPr="007C4D23">
              <w:rPr>
                <w:rFonts w:asciiTheme="majorHAnsi" w:hAnsiTheme="majorHAnsi"/>
                <w:sz w:val="22"/>
                <w:szCs w:val="28"/>
              </w:rPr>
              <w:t>kationsstruktur</w:t>
            </w:r>
          </w:p>
          <w:p w14:paraId="3C9A3550" w14:textId="57EF011D"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Einseitige Geltung und einseitige Geltungsansprüche ohne Begründungen und Einspruchsmöglich</w:t>
            </w:r>
            <w:r w:rsidR="00AE30DB">
              <w:rPr>
                <w:rFonts w:asciiTheme="majorHAnsi" w:hAnsiTheme="majorHAnsi"/>
                <w:sz w:val="22"/>
                <w:szCs w:val="28"/>
              </w:rPr>
              <w:t>-</w:t>
            </w:r>
            <w:r w:rsidRPr="007C4D23">
              <w:rPr>
                <w:rFonts w:asciiTheme="majorHAnsi" w:hAnsiTheme="majorHAnsi"/>
                <w:sz w:val="22"/>
                <w:szCs w:val="28"/>
              </w:rPr>
              <w:t xml:space="preserve">keiten </w:t>
            </w:r>
          </w:p>
          <w:p w14:paraId="02FC1030" w14:textId="77777777"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Ursache häufig „gesellschaftlich bedingte Sprachohnmacht“ (= fehlende Sprachkompetenz)</w:t>
            </w:r>
          </w:p>
          <w:p w14:paraId="1B05B7EA" w14:textId="77777777" w:rsidR="007C4D23" w:rsidRPr="007C4D23" w:rsidRDefault="007C4D23" w:rsidP="0011134E">
            <w:pPr>
              <w:numPr>
                <w:ilvl w:val="0"/>
                <w:numId w:val="2"/>
              </w:numPr>
              <w:spacing w:before="60" w:after="120"/>
              <w:ind w:left="714" w:hanging="357"/>
              <w:rPr>
                <w:rFonts w:asciiTheme="majorHAnsi" w:hAnsiTheme="majorHAnsi"/>
                <w:sz w:val="22"/>
                <w:szCs w:val="28"/>
              </w:rPr>
            </w:pPr>
            <w:r w:rsidRPr="007C4D23">
              <w:rPr>
                <w:rFonts w:asciiTheme="majorHAnsi" w:hAnsiTheme="majorHAnsi"/>
                <w:sz w:val="22"/>
                <w:szCs w:val="28"/>
              </w:rPr>
              <w:t>Geltungsansprüche werden oft mit nonverbalen Mitteln (z. B. körperliche Gewalt) zum Ausdruck gebracht</w:t>
            </w:r>
          </w:p>
        </w:tc>
      </w:tr>
      <w:tr w:rsidR="007C4D23" w14:paraId="2CDE4F96" w14:textId="77777777" w:rsidTr="007C4D23">
        <w:tblPrEx>
          <w:tblCellMar>
            <w:top w:w="0" w:type="dxa"/>
            <w:bottom w:w="0" w:type="dxa"/>
          </w:tblCellMar>
        </w:tblPrEx>
        <w:tc>
          <w:tcPr>
            <w:tcW w:w="1843" w:type="dxa"/>
          </w:tcPr>
          <w:p w14:paraId="0B76FD3C" w14:textId="77777777" w:rsidR="007C4D23" w:rsidRPr="007C4D23" w:rsidRDefault="007C4D23" w:rsidP="007C4D23">
            <w:pPr>
              <w:spacing w:beforeLines="60" w:before="144" w:afterLines="60" w:after="144"/>
              <w:rPr>
                <w:rFonts w:asciiTheme="majorHAnsi" w:hAnsiTheme="majorHAnsi"/>
                <w:b/>
                <w:bCs/>
                <w:sz w:val="22"/>
                <w:szCs w:val="28"/>
              </w:rPr>
            </w:pPr>
            <w:r w:rsidRPr="007C4D23">
              <w:rPr>
                <w:rFonts w:asciiTheme="majorHAnsi" w:hAnsiTheme="majorHAnsi"/>
                <w:b/>
                <w:bCs/>
                <w:sz w:val="22"/>
                <w:szCs w:val="28"/>
              </w:rPr>
              <w:t>Entscheidungs-gespräche</w:t>
            </w:r>
          </w:p>
        </w:tc>
        <w:tc>
          <w:tcPr>
            <w:tcW w:w="1843" w:type="dxa"/>
            <w:gridSpan w:val="2"/>
          </w:tcPr>
          <w:p w14:paraId="6EDD9493" w14:textId="77777777" w:rsidR="007C4D23" w:rsidRPr="007C4D23" w:rsidRDefault="007C4D23" w:rsidP="007C4D23">
            <w:pPr>
              <w:pStyle w:val="Kopfzeile"/>
              <w:tabs>
                <w:tab w:val="clear" w:pos="4536"/>
                <w:tab w:val="clear" w:pos="9072"/>
              </w:tabs>
              <w:spacing w:beforeLines="60" w:before="144" w:afterLines="60" w:after="144"/>
              <w:rPr>
                <w:rFonts w:asciiTheme="majorHAnsi" w:hAnsiTheme="majorHAnsi"/>
                <w:sz w:val="22"/>
                <w:szCs w:val="28"/>
              </w:rPr>
            </w:pPr>
            <w:r w:rsidRPr="007C4D23">
              <w:rPr>
                <w:rFonts w:asciiTheme="majorHAnsi" w:hAnsiTheme="majorHAnsi"/>
                <w:sz w:val="22"/>
                <w:szCs w:val="28"/>
              </w:rPr>
              <w:t>Gestus des Sich-Entscheidens als Ergebnis eines zugleich intersubjektiv und reflexiv geführten Kommunika-tionsprozesses</w:t>
            </w:r>
          </w:p>
        </w:tc>
        <w:tc>
          <w:tcPr>
            <w:tcW w:w="5531" w:type="dxa"/>
          </w:tcPr>
          <w:p w14:paraId="4599CAEE" w14:textId="77777777"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prozesshaft nach vorne gerichtet</w:t>
            </w:r>
          </w:p>
          <w:p w14:paraId="380AEC4C" w14:textId="6809B844"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 xml:space="preserve">Einstellungs- und Verhaltensänderung zumindest </w:t>
            </w:r>
            <w:r w:rsidR="00AE30DB">
              <w:rPr>
                <w:rFonts w:asciiTheme="majorHAnsi" w:hAnsiTheme="majorHAnsi"/>
                <w:sz w:val="22"/>
                <w:szCs w:val="28"/>
              </w:rPr>
              <w:br/>
            </w:r>
            <w:r w:rsidRPr="007C4D23">
              <w:rPr>
                <w:rFonts w:asciiTheme="majorHAnsi" w:hAnsiTheme="majorHAnsi"/>
                <w:sz w:val="22"/>
                <w:szCs w:val="28"/>
              </w:rPr>
              <w:t>eines Sprechers ermöglicht Entscheidung</w:t>
            </w:r>
          </w:p>
          <w:p w14:paraId="1617DF4D" w14:textId="77777777"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meist Inhaltsaspekt dominierend; aber auch nur scheinbar argumentativ möglich, wenn die Beziehungen der Gesprächspartner die Inhaltsseite überlagern</w:t>
            </w:r>
          </w:p>
        </w:tc>
      </w:tr>
      <w:tr w:rsidR="007C4D23" w14:paraId="40529E63" w14:textId="77777777" w:rsidTr="007C4D23">
        <w:tblPrEx>
          <w:tblCellMar>
            <w:top w:w="0" w:type="dxa"/>
            <w:bottom w:w="0" w:type="dxa"/>
          </w:tblCellMar>
        </w:tblPrEx>
        <w:tc>
          <w:tcPr>
            <w:tcW w:w="1843" w:type="dxa"/>
          </w:tcPr>
          <w:p w14:paraId="679FF353" w14:textId="77777777" w:rsidR="007C4D23" w:rsidRPr="007C4D23" w:rsidRDefault="007C4D23" w:rsidP="007C4D23">
            <w:pPr>
              <w:spacing w:beforeLines="60" w:before="144" w:afterLines="60" w:after="144"/>
              <w:rPr>
                <w:rFonts w:asciiTheme="majorHAnsi" w:hAnsiTheme="majorHAnsi"/>
                <w:b/>
                <w:bCs/>
                <w:sz w:val="22"/>
                <w:szCs w:val="28"/>
              </w:rPr>
            </w:pPr>
            <w:r w:rsidRPr="007C4D23">
              <w:rPr>
                <w:rFonts w:asciiTheme="majorHAnsi" w:hAnsiTheme="majorHAnsi"/>
                <w:b/>
                <w:bCs/>
                <w:sz w:val="22"/>
                <w:szCs w:val="28"/>
              </w:rPr>
              <w:t>Diskurs-Gespräche</w:t>
            </w:r>
          </w:p>
        </w:tc>
        <w:tc>
          <w:tcPr>
            <w:tcW w:w="1843" w:type="dxa"/>
            <w:gridSpan w:val="2"/>
          </w:tcPr>
          <w:p w14:paraId="7E469C14" w14:textId="77777777" w:rsidR="007C4D23" w:rsidRPr="007C4D23" w:rsidRDefault="007C4D23" w:rsidP="007C4D23">
            <w:pPr>
              <w:pStyle w:val="Kopfzeile"/>
              <w:tabs>
                <w:tab w:val="clear" w:pos="4536"/>
                <w:tab w:val="clear" w:pos="9072"/>
              </w:tabs>
              <w:spacing w:beforeLines="60" w:before="144" w:afterLines="60" w:after="144"/>
              <w:rPr>
                <w:rFonts w:asciiTheme="majorHAnsi" w:hAnsiTheme="majorHAnsi"/>
                <w:sz w:val="22"/>
                <w:szCs w:val="28"/>
              </w:rPr>
            </w:pPr>
            <w:r w:rsidRPr="007C4D23">
              <w:rPr>
                <w:rFonts w:asciiTheme="majorHAnsi" w:hAnsiTheme="majorHAnsi"/>
                <w:sz w:val="22"/>
                <w:szCs w:val="28"/>
              </w:rPr>
              <w:t>Gespräche mit einer deutlichen Tendenz zum Diskurs</w:t>
            </w:r>
          </w:p>
        </w:tc>
        <w:tc>
          <w:tcPr>
            <w:tcW w:w="5531" w:type="dxa"/>
          </w:tcPr>
          <w:p w14:paraId="75DE9ECD" w14:textId="528589F1" w:rsidR="007C4D23" w:rsidRPr="007C4D23" w:rsidRDefault="007C4D23" w:rsidP="0011134E">
            <w:pPr>
              <w:numPr>
                <w:ilvl w:val="0"/>
                <w:numId w:val="2"/>
              </w:numPr>
              <w:spacing w:before="60" w:after="60"/>
              <w:ind w:left="714" w:hanging="357"/>
              <w:rPr>
                <w:rFonts w:asciiTheme="majorHAnsi" w:hAnsiTheme="majorHAnsi"/>
                <w:sz w:val="22"/>
                <w:szCs w:val="28"/>
              </w:rPr>
            </w:pPr>
            <w:r w:rsidRPr="007C4D23">
              <w:rPr>
                <w:rFonts w:asciiTheme="majorHAnsi" w:hAnsiTheme="majorHAnsi"/>
                <w:sz w:val="22"/>
                <w:szCs w:val="28"/>
              </w:rPr>
              <w:t xml:space="preserve">Gestaltung idealer Sprechsituationen meist nur in </w:t>
            </w:r>
            <w:r w:rsidR="00AE30DB">
              <w:rPr>
                <w:rFonts w:asciiTheme="majorHAnsi" w:hAnsiTheme="majorHAnsi"/>
                <w:sz w:val="22"/>
                <w:szCs w:val="28"/>
              </w:rPr>
              <w:br/>
            </w:r>
            <w:r w:rsidRPr="007C4D23">
              <w:rPr>
                <w:rFonts w:asciiTheme="majorHAnsi" w:hAnsiTheme="majorHAnsi"/>
                <w:sz w:val="22"/>
                <w:szCs w:val="28"/>
              </w:rPr>
              <w:t>literarischen Modellen gegeben</w:t>
            </w:r>
          </w:p>
          <w:p w14:paraId="787F2245" w14:textId="77777777" w:rsidR="007C4D23" w:rsidRPr="007C4D23" w:rsidRDefault="007C4D23" w:rsidP="0011134E">
            <w:pPr>
              <w:numPr>
                <w:ilvl w:val="0"/>
                <w:numId w:val="2"/>
              </w:numPr>
              <w:spacing w:before="60" w:after="120"/>
              <w:ind w:left="714" w:hanging="357"/>
              <w:rPr>
                <w:rFonts w:asciiTheme="majorHAnsi" w:hAnsiTheme="majorHAnsi"/>
                <w:sz w:val="22"/>
                <w:szCs w:val="28"/>
              </w:rPr>
            </w:pPr>
            <w:r w:rsidRPr="007C4D23">
              <w:rPr>
                <w:rFonts w:asciiTheme="majorHAnsi" w:hAnsiTheme="majorHAnsi"/>
                <w:sz w:val="22"/>
                <w:szCs w:val="28"/>
              </w:rPr>
              <w:t>literarische Modelle mit didaktischer Funktion:  "theoretische Befähigung zum Diskurs (als Voraussetzung für den praktischen Diskurs) aufgrund kritischer und selbstkritischer Überprüfung der Bedingungen, Möglichkeiten und Schwierigkeiten sprachlicher Kommunikation (d. h. Überprüfung vor allem der Bedingungen der Diskurs-Verhinderung)." (ebd., S.15)</w:t>
            </w:r>
            <w:bookmarkStart w:id="3" w:name="_GoBack"/>
            <w:bookmarkEnd w:id="3"/>
          </w:p>
        </w:tc>
      </w:tr>
    </w:tbl>
    <w:p w14:paraId="3C931667" w14:textId="77777777" w:rsidR="007C4D23" w:rsidRDefault="007C4D23" w:rsidP="007C4D23"/>
    <w:p w14:paraId="71CF5078" w14:textId="77777777" w:rsidR="007C4D23" w:rsidRPr="007C4D23" w:rsidRDefault="007C4D23" w:rsidP="007C4D23">
      <w:pPr>
        <w:rPr>
          <w:sz w:val="18"/>
          <w:szCs w:val="22"/>
        </w:rPr>
      </w:pPr>
      <w:r w:rsidRPr="007C4D23">
        <w:rPr>
          <w:b/>
          <w:bCs/>
          <w:sz w:val="18"/>
          <w:szCs w:val="22"/>
        </w:rPr>
        <w:t>Beilhardt, Karl, Otto Kübler und Dietrich Steinbach (1979</w:t>
      </w:r>
      <w:r w:rsidRPr="007C4D23">
        <w:rPr>
          <w:sz w:val="18"/>
          <w:szCs w:val="22"/>
        </w:rPr>
        <w:t>): Formen des Gesprächs im Drama. Ein Kurs im Deutschunterricht auf der Oberstufe. Begleitmaterial zu einer Sendereihe des Süddeutschen Rundfunks, Stuttgart: Klett 1979, S. 13-15)</w:t>
      </w:r>
    </w:p>
    <w:p w14:paraId="394F10BE" w14:textId="77777777" w:rsidR="007C4D23" w:rsidRPr="007C4D23" w:rsidRDefault="007C4D23" w:rsidP="007C4D23">
      <w:pPr>
        <w:rPr>
          <w:sz w:val="18"/>
          <w:szCs w:val="22"/>
        </w:rPr>
      </w:pPr>
      <w:r w:rsidRPr="007C4D23">
        <w:rPr>
          <w:b/>
          <w:bCs/>
          <w:sz w:val="18"/>
          <w:szCs w:val="22"/>
        </w:rPr>
        <w:t>Brinker, Klaus und Sven F. Sager (1989)</w:t>
      </w:r>
      <w:r w:rsidRPr="007C4D23">
        <w:rPr>
          <w:sz w:val="18"/>
          <w:szCs w:val="22"/>
        </w:rPr>
        <w:t>: Linguistische Gesprächsanalyse. Eine Einführung, Berlin: Erich Schmidt Verlag 1985</w:t>
      </w:r>
    </w:p>
    <w:p w14:paraId="090D5C64" w14:textId="0E1BDCAE" w:rsidR="007C5755" w:rsidRPr="002F6EA4" w:rsidRDefault="007C5755" w:rsidP="001D7474">
      <w:pPr>
        <w:pStyle w:val="StandardWeb"/>
        <w:spacing w:before="120" w:beforeAutospacing="0" w:after="60" w:afterAutospacing="0"/>
        <w:rPr>
          <w:rFonts w:asciiTheme="majorHAnsi" w:hAnsiTheme="majorHAnsi"/>
        </w:rPr>
      </w:pPr>
      <w:r w:rsidRPr="002F6EA4">
        <w:rPr>
          <w:rFonts w:asciiTheme="majorHAnsi" w:hAnsiTheme="majorHAnsi"/>
          <w:b/>
          <w:bCs/>
        </w:rPr>
        <w:t>Arbeitsanregungen:</w:t>
      </w:r>
      <w:r w:rsidRPr="002F6EA4">
        <w:rPr>
          <w:rFonts w:asciiTheme="majorHAnsi" w:hAnsiTheme="majorHAnsi"/>
        </w:rPr>
        <w:t xml:space="preserve"> </w:t>
      </w:r>
    </w:p>
    <w:p w14:paraId="6743D38B" w14:textId="2DD06657" w:rsidR="009A1CFD" w:rsidRPr="009A1CFD" w:rsidRDefault="007C4D23" w:rsidP="0011134E">
      <w:pPr>
        <w:pStyle w:val="Listenabsatz"/>
        <w:numPr>
          <w:ilvl w:val="0"/>
          <w:numId w:val="1"/>
        </w:numPr>
        <w:spacing w:before="60" w:after="60"/>
        <w:rPr>
          <w:rFonts w:asciiTheme="majorHAnsi" w:hAnsiTheme="majorHAnsi"/>
        </w:rPr>
      </w:pPr>
      <w:r>
        <w:rPr>
          <w:rFonts w:asciiTheme="majorHAnsi" w:hAnsiTheme="majorHAnsi"/>
        </w:rPr>
        <w:t>Ordnen Sie entsprechende Gespräche den Gesprächtstypen zu.</w:t>
      </w:r>
    </w:p>
    <w:p w14:paraId="7D22B989" w14:textId="6639CD4A" w:rsidR="00511192" w:rsidRPr="009A1CFD" w:rsidRDefault="00AE30DB" w:rsidP="0011134E">
      <w:pPr>
        <w:pStyle w:val="Listenabsatz"/>
        <w:numPr>
          <w:ilvl w:val="0"/>
          <w:numId w:val="1"/>
        </w:numPr>
        <w:spacing w:before="60" w:after="60"/>
        <w:rPr>
          <w:rFonts w:asciiTheme="majorHAnsi" w:hAnsiTheme="majorHAnsi"/>
        </w:rPr>
      </w:pPr>
      <w:r>
        <w:rPr>
          <w:rFonts w:asciiTheme="majorHAnsi" w:hAnsiTheme="majorHAnsi"/>
        </w:rPr>
        <w:t>Beachten Sie dabei auch, dass auch Mischformen möglich sind.</w:t>
      </w:r>
    </w:p>
    <w:sectPr w:rsidR="00511192" w:rsidRPr="009A1CFD" w:rsidSect="004E5969">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28E8A" w14:textId="77777777" w:rsidR="0011134E" w:rsidRDefault="0011134E" w:rsidP="003016EC">
      <w:r>
        <w:separator/>
      </w:r>
    </w:p>
  </w:endnote>
  <w:endnote w:type="continuationSeparator" w:id="0">
    <w:p w14:paraId="644869C7" w14:textId="77777777" w:rsidR="0011134E" w:rsidRDefault="0011134E"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368AEE72"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C805" w14:textId="77777777" w:rsidR="0011134E" w:rsidRDefault="0011134E" w:rsidP="003016EC">
      <w:r>
        <w:separator/>
      </w:r>
    </w:p>
  </w:footnote>
  <w:footnote w:type="continuationSeparator" w:id="0">
    <w:p w14:paraId="782E408B" w14:textId="77777777" w:rsidR="0011134E" w:rsidRDefault="0011134E"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E947B7" w:rsidR="001B6478" w:rsidRPr="003B0F77" w:rsidRDefault="0011134E"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396E42">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396E42">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w:t>
    </w:r>
    <w:r w:rsidR="00AE30DB">
      <w:rPr>
        <w:rFonts w:asciiTheme="majorHAnsi" w:hAnsiTheme="majorHAnsi"/>
      </w:rPr>
      <w:t>20</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15D1C439"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3A1BBD">
      <w:rPr>
        <w:rFonts w:asciiTheme="majorHAnsi" w:hAnsiTheme="majorHAnsi"/>
      </w:rPr>
      <w:t xml:space="preserve">                                                  </w:t>
    </w:r>
    <w:r w:rsidRPr="003B0F77">
      <w:rPr>
        <w:rFonts w:asciiTheme="majorHAnsi" w:hAnsiTheme="majorHAnsi"/>
      </w:rPr>
      <w:t>teachSam-OER 20</w:t>
    </w:r>
    <w:r w:rsidR="00E90696">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4E47"/>
    <w:multiLevelType w:val="hybridMultilevel"/>
    <w:tmpl w:val="642EB5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E71725"/>
    <w:multiLevelType w:val="hybridMultilevel"/>
    <w:tmpl w:val="57BE7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D1804"/>
    <w:multiLevelType w:val="hybridMultilevel"/>
    <w:tmpl w:val="2CB695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177B2"/>
    <w:rsid w:val="00021EB0"/>
    <w:rsid w:val="0003382B"/>
    <w:rsid w:val="00042F8F"/>
    <w:rsid w:val="000520A1"/>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1134E"/>
    <w:rsid w:val="00122AD4"/>
    <w:rsid w:val="00131A1C"/>
    <w:rsid w:val="00133B73"/>
    <w:rsid w:val="00142693"/>
    <w:rsid w:val="00153614"/>
    <w:rsid w:val="001572D3"/>
    <w:rsid w:val="00167960"/>
    <w:rsid w:val="00183329"/>
    <w:rsid w:val="0019512F"/>
    <w:rsid w:val="001A1288"/>
    <w:rsid w:val="001B09BD"/>
    <w:rsid w:val="001B52BE"/>
    <w:rsid w:val="001B6478"/>
    <w:rsid w:val="001C4662"/>
    <w:rsid w:val="001C540A"/>
    <w:rsid w:val="001C62B6"/>
    <w:rsid w:val="001D7474"/>
    <w:rsid w:val="001F7DC7"/>
    <w:rsid w:val="00216E98"/>
    <w:rsid w:val="00220A3C"/>
    <w:rsid w:val="00227AF7"/>
    <w:rsid w:val="002349C6"/>
    <w:rsid w:val="00236BDA"/>
    <w:rsid w:val="002545C9"/>
    <w:rsid w:val="0026014A"/>
    <w:rsid w:val="002B1087"/>
    <w:rsid w:val="002B664B"/>
    <w:rsid w:val="002B6817"/>
    <w:rsid w:val="002C3C8E"/>
    <w:rsid w:val="002C5A3A"/>
    <w:rsid w:val="002E01F3"/>
    <w:rsid w:val="002F5B10"/>
    <w:rsid w:val="002F6EA4"/>
    <w:rsid w:val="003016EC"/>
    <w:rsid w:val="00305648"/>
    <w:rsid w:val="00311497"/>
    <w:rsid w:val="0031735B"/>
    <w:rsid w:val="00322803"/>
    <w:rsid w:val="00333DFD"/>
    <w:rsid w:val="003404CA"/>
    <w:rsid w:val="00355B1C"/>
    <w:rsid w:val="003577A2"/>
    <w:rsid w:val="00396C15"/>
    <w:rsid w:val="00396E42"/>
    <w:rsid w:val="003A1BBD"/>
    <w:rsid w:val="003A41EC"/>
    <w:rsid w:val="003B02D9"/>
    <w:rsid w:val="003B0F77"/>
    <w:rsid w:val="003C6944"/>
    <w:rsid w:val="003E244A"/>
    <w:rsid w:val="003E288D"/>
    <w:rsid w:val="00404476"/>
    <w:rsid w:val="004349E6"/>
    <w:rsid w:val="0045272E"/>
    <w:rsid w:val="00455B09"/>
    <w:rsid w:val="00462E1E"/>
    <w:rsid w:val="00463E45"/>
    <w:rsid w:val="00473430"/>
    <w:rsid w:val="004901A3"/>
    <w:rsid w:val="00494071"/>
    <w:rsid w:val="004B4583"/>
    <w:rsid w:val="004C2F74"/>
    <w:rsid w:val="004C3E3F"/>
    <w:rsid w:val="004D72B7"/>
    <w:rsid w:val="004E13D1"/>
    <w:rsid w:val="004E5969"/>
    <w:rsid w:val="005015E4"/>
    <w:rsid w:val="00511192"/>
    <w:rsid w:val="00515909"/>
    <w:rsid w:val="00530B21"/>
    <w:rsid w:val="00542CB3"/>
    <w:rsid w:val="00546872"/>
    <w:rsid w:val="005513EF"/>
    <w:rsid w:val="0055598E"/>
    <w:rsid w:val="005652EA"/>
    <w:rsid w:val="00573DC9"/>
    <w:rsid w:val="005746E5"/>
    <w:rsid w:val="00592822"/>
    <w:rsid w:val="00592CBB"/>
    <w:rsid w:val="005A6400"/>
    <w:rsid w:val="005B4958"/>
    <w:rsid w:val="005B7698"/>
    <w:rsid w:val="005B7D8B"/>
    <w:rsid w:val="005C5BCD"/>
    <w:rsid w:val="005D5259"/>
    <w:rsid w:val="005E2869"/>
    <w:rsid w:val="005F4234"/>
    <w:rsid w:val="005F72B8"/>
    <w:rsid w:val="00622259"/>
    <w:rsid w:val="00622FA1"/>
    <w:rsid w:val="006238EF"/>
    <w:rsid w:val="006403F3"/>
    <w:rsid w:val="006411D4"/>
    <w:rsid w:val="00643B36"/>
    <w:rsid w:val="00661704"/>
    <w:rsid w:val="006723F1"/>
    <w:rsid w:val="00680E48"/>
    <w:rsid w:val="0068413E"/>
    <w:rsid w:val="006A2167"/>
    <w:rsid w:val="006C033C"/>
    <w:rsid w:val="006C2150"/>
    <w:rsid w:val="006F3164"/>
    <w:rsid w:val="00732267"/>
    <w:rsid w:val="00734E9B"/>
    <w:rsid w:val="0073794C"/>
    <w:rsid w:val="00744BAA"/>
    <w:rsid w:val="007528A3"/>
    <w:rsid w:val="007C223B"/>
    <w:rsid w:val="007C4D23"/>
    <w:rsid w:val="007C5755"/>
    <w:rsid w:val="007D295E"/>
    <w:rsid w:val="007D56D8"/>
    <w:rsid w:val="007F7205"/>
    <w:rsid w:val="008220D6"/>
    <w:rsid w:val="0083785D"/>
    <w:rsid w:val="00846DA0"/>
    <w:rsid w:val="00853EB3"/>
    <w:rsid w:val="0085609C"/>
    <w:rsid w:val="00861CE6"/>
    <w:rsid w:val="00864215"/>
    <w:rsid w:val="00865CB4"/>
    <w:rsid w:val="0087597D"/>
    <w:rsid w:val="0087695C"/>
    <w:rsid w:val="00892896"/>
    <w:rsid w:val="008A145A"/>
    <w:rsid w:val="008A7AED"/>
    <w:rsid w:val="008C0D2A"/>
    <w:rsid w:val="008C2E3D"/>
    <w:rsid w:val="008F6F18"/>
    <w:rsid w:val="00913AF8"/>
    <w:rsid w:val="00935348"/>
    <w:rsid w:val="00936D8A"/>
    <w:rsid w:val="0094187E"/>
    <w:rsid w:val="009844D9"/>
    <w:rsid w:val="00987661"/>
    <w:rsid w:val="009A1CFD"/>
    <w:rsid w:val="009A5419"/>
    <w:rsid w:val="009B080D"/>
    <w:rsid w:val="009C263A"/>
    <w:rsid w:val="009C7587"/>
    <w:rsid w:val="009D1C5C"/>
    <w:rsid w:val="009D25D9"/>
    <w:rsid w:val="009F089C"/>
    <w:rsid w:val="009F10E3"/>
    <w:rsid w:val="00A05BA7"/>
    <w:rsid w:val="00A229B4"/>
    <w:rsid w:val="00A27D10"/>
    <w:rsid w:val="00A44D1F"/>
    <w:rsid w:val="00A76311"/>
    <w:rsid w:val="00A822DE"/>
    <w:rsid w:val="00AA1DDF"/>
    <w:rsid w:val="00AA7AC4"/>
    <w:rsid w:val="00AB43C6"/>
    <w:rsid w:val="00AB4BA4"/>
    <w:rsid w:val="00AE30DB"/>
    <w:rsid w:val="00AF04FA"/>
    <w:rsid w:val="00AF1EE3"/>
    <w:rsid w:val="00AF7544"/>
    <w:rsid w:val="00B11E10"/>
    <w:rsid w:val="00B13E62"/>
    <w:rsid w:val="00B167B5"/>
    <w:rsid w:val="00B71AB1"/>
    <w:rsid w:val="00B82725"/>
    <w:rsid w:val="00BB562E"/>
    <w:rsid w:val="00BD3233"/>
    <w:rsid w:val="00BD35B7"/>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921FD"/>
    <w:rsid w:val="00C944F8"/>
    <w:rsid w:val="00CC32ED"/>
    <w:rsid w:val="00CC7349"/>
    <w:rsid w:val="00CD021C"/>
    <w:rsid w:val="00CD097F"/>
    <w:rsid w:val="00CE6589"/>
    <w:rsid w:val="00CF5A18"/>
    <w:rsid w:val="00D20052"/>
    <w:rsid w:val="00D2507C"/>
    <w:rsid w:val="00D256C1"/>
    <w:rsid w:val="00D327EA"/>
    <w:rsid w:val="00D34DBA"/>
    <w:rsid w:val="00D52B25"/>
    <w:rsid w:val="00D66A0F"/>
    <w:rsid w:val="00DA51DD"/>
    <w:rsid w:val="00DB7CFB"/>
    <w:rsid w:val="00DD179F"/>
    <w:rsid w:val="00DD5022"/>
    <w:rsid w:val="00DF07D0"/>
    <w:rsid w:val="00DF1176"/>
    <w:rsid w:val="00DF416D"/>
    <w:rsid w:val="00E05329"/>
    <w:rsid w:val="00E12B6C"/>
    <w:rsid w:val="00E62945"/>
    <w:rsid w:val="00E70432"/>
    <w:rsid w:val="00E90696"/>
    <w:rsid w:val="00EA3911"/>
    <w:rsid w:val="00EB370A"/>
    <w:rsid w:val="00EC2549"/>
    <w:rsid w:val="00ED67C9"/>
    <w:rsid w:val="00EE2BE8"/>
    <w:rsid w:val="00EF2893"/>
    <w:rsid w:val="00F0664A"/>
    <w:rsid w:val="00F13694"/>
    <w:rsid w:val="00F300C0"/>
    <w:rsid w:val="00F3736C"/>
    <w:rsid w:val="00F40B9C"/>
    <w:rsid w:val="00F46E2C"/>
    <w:rsid w:val="00F554B4"/>
    <w:rsid w:val="00F60E01"/>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24482D0F-1ADA-4CAA-9142-F112CA63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paragraph" w:customStyle="1" w:styleId="Titelzeileberschrift1">
    <w:name w:val="Titelzeile Überschrift 1"/>
    <w:basedOn w:val="Standard"/>
    <w:rsid w:val="007C5755"/>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587692885">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169635910">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895463502">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1993942242">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DB7D-BDAE-4B45-94BF-57D8A93E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2014-07-31T16:04:00Z</cp:lastPrinted>
  <dcterms:created xsi:type="dcterms:W3CDTF">2020-06-17T12:59:00Z</dcterms:created>
  <dcterms:modified xsi:type="dcterms:W3CDTF">2020-06-17T13:11:00Z</dcterms:modified>
</cp:coreProperties>
</file>