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35B9A7A8" w:rsidR="00065E89" w:rsidRPr="00AC0782" w:rsidRDefault="00C2482C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Erzählperspektiven </w:t>
      </w:r>
    </w:p>
    <w:p w14:paraId="500AC2BE" w14:textId="574A32D9" w:rsidR="00F0664A" w:rsidRDefault="00C2482C" w:rsidP="007D56D8">
      <w:pPr>
        <w:rPr>
          <w:rFonts w:ascii="Cambria" w:hAnsi="Cambria"/>
        </w:rPr>
      </w:pPr>
      <w:r>
        <w:rPr>
          <w:rFonts w:ascii="Cambria" w:hAnsi="Cambria"/>
          <w:color w:val="1F497D" w:themeColor="text2"/>
          <w:sz w:val="24"/>
        </w:rPr>
        <w:t>(Erzählsituationen nach Stanzel 1955, 1965, 1979)</w:t>
      </w:r>
    </w:p>
    <w:p w14:paraId="55DEA5FE" w14:textId="3533FBF8" w:rsidR="00C2482C" w:rsidRDefault="00854CD1" w:rsidP="00C84A05">
      <w:pPr>
        <w:pStyle w:val="StandardWeb"/>
      </w:pPr>
      <w:r>
        <w:t>Stanzel unterscheidet ursprünglich drei, später nach Hinzufügung der neutralen, vier idealtypische Erzählsituationen voneinander.</w:t>
      </w:r>
      <w:r>
        <w:br/>
      </w:r>
      <w:r>
        <w:t>Als Idealtypen können sie in einem konkreten Text auf unterschiedliche Art und Weise modifiziert werden</w:t>
      </w:r>
      <w:r>
        <w:t xml:space="preserve"> und</w:t>
      </w:r>
      <w:r>
        <w:t xml:space="preserve"> können im Verlauf einer Erzählung sogar wechseln.</w:t>
      </w:r>
    </w:p>
    <w:tbl>
      <w:tblPr>
        <w:tblW w:w="5000" w:type="pct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7693"/>
      </w:tblGrid>
      <w:tr w:rsidR="00C2482C" w14:paraId="028D7C01" w14:textId="77777777" w:rsidTr="00854CD1">
        <w:trPr>
          <w:tblCellSpacing w:w="0" w:type="dxa"/>
        </w:trPr>
        <w:tc>
          <w:tcPr>
            <w:tcW w:w="750" w:type="pct"/>
            <w:tcBorders>
              <w:top w:val="outset" w:sz="6" w:space="0" w:color="F0F0F0"/>
              <w:left w:val="outset" w:sz="6" w:space="0" w:color="FFFFFF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753F92EC" w14:textId="03A94773" w:rsidR="00C2482C" w:rsidRPr="00854CD1" w:rsidRDefault="00C2482C" w:rsidP="00854CD1">
            <w:pPr>
              <w:pStyle w:val="berschrift2"/>
              <w:spacing w:before="240"/>
              <w:ind w:left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auk</w:t>
            </w: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</w:t>
            </w: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or</w:t>
            </w: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</w:t>
            </w: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al</w:t>
            </w:r>
          </w:p>
        </w:tc>
        <w:tc>
          <w:tcPr>
            <w:tcW w:w="4250" w:type="pct"/>
            <w:tcBorders>
              <w:top w:val="outset" w:sz="6" w:space="0" w:color="F0F0F0"/>
              <w:left w:val="outset" w:sz="6" w:space="0" w:color="FFFFFF"/>
              <w:bottom w:val="outset" w:sz="6" w:space="0" w:color="F0F0F0"/>
              <w:right w:val="outset" w:sz="6" w:space="0" w:color="FFFFFF"/>
            </w:tcBorders>
            <w:shd w:val="clear" w:color="auto" w:fill="FFFFFF" w:themeFill="background1"/>
          </w:tcPr>
          <w:p w14:paraId="22F46F48" w14:textId="77777777" w:rsidR="00C2482C" w:rsidRPr="00854CD1" w:rsidRDefault="00C2482C" w:rsidP="00C84A05">
            <w:pPr>
              <w:numPr>
                <w:ilvl w:val="0"/>
                <w:numId w:val="45"/>
              </w:numPr>
              <w:spacing w:before="120" w:after="100" w:afterAutospacing="1"/>
              <w:ind w:left="714" w:hanging="357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Persönlich anwesender, "allwissender"  Erzähler, der den Erzählvorgang initiiert und lenkt.</w:t>
            </w:r>
          </w:p>
          <w:p w14:paraId="165DE743" w14:textId="77777777" w:rsidR="00C2482C" w:rsidRPr="00854CD1" w:rsidRDefault="00C2482C" w:rsidP="00C2482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Erzähler ist nicht identisch mit dem Autor!</w:t>
            </w:r>
          </w:p>
          <w:p w14:paraId="2B7DC178" w14:textId="77777777" w:rsidR="00C2482C" w:rsidRPr="00854CD1" w:rsidRDefault="00C2482C" w:rsidP="00C2482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Ausgeprägter Gestus des Erzählens spürbar im Prozess der Vermittlung der erzählten Wirklichkeit (= "</w:t>
            </w:r>
            <w:r w:rsidRPr="00854CD1">
              <w:rPr>
                <w:rFonts w:asciiTheme="majorHAnsi" w:hAnsiTheme="majorHAnsi" w:cs="Arial"/>
                <w:i/>
                <w:iCs/>
              </w:rPr>
              <w:t>Distanz zum Erzählten</w:t>
            </w:r>
            <w:r w:rsidRPr="00854CD1">
              <w:rPr>
                <w:rFonts w:asciiTheme="majorHAnsi" w:hAnsiTheme="majorHAnsi" w:cs="Arial"/>
              </w:rPr>
              <w:t xml:space="preserve">" </w:t>
            </w:r>
            <w:r w:rsidRPr="00854CD1">
              <w:rPr>
                <w:rFonts w:asciiTheme="majorHAnsi" w:hAnsiTheme="majorHAnsi" w:cs="Arial"/>
              </w:rPr>
              <w:t>(Graevenitz 1982</w:t>
            </w:r>
            <w:r w:rsidRPr="00854CD1">
              <w:rPr>
                <w:rFonts w:asciiTheme="majorHAnsi" w:hAnsiTheme="majorHAnsi" w:cs="Arial"/>
              </w:rPr>
              <w:t>, S.93)</w:t>
            </w:r>
          </w:p>
          <w:p w14:paraId="1273E10D" w14:textId="77777777" w:rsidR="00C2482C" w:rsidRPr="00854CD1" w:rsidRDefault="00C2482C" w:rsidP="00C84A05">
            <w:pPr>
              <w:numPr>
                <w:ilvl w:val="0"/>
                <w:numId w:val="45"/>
              </w:numPr>
              <w:spacing w:before="100" w:beforeAutospacing="1" w:after="120"/>
              <w:ind w:left="714" w:hanging="357"/>
              <w:rPr>
                <w:rFonts w:asciiTheme="majorHAnsi" w:eastAsia="Arial Unicode MS" w:hAnsiTheme="majorHAnsi" w:cs="Arial Unicode MS"/>
                <w:sz w:val="24"/>
              </w:rPr>
            </w:pPr>
            <w:r w:rsidRPr="00854CD1">
              <w:rPr>
                <w:rFonts w:asciiTheme="majorHAnsi" w:hAnsiTheme="majorHAnsi" w:cs="Arial"/>
              </w:rPr>
              <w:t xml:space="preserve">Kommentare, Vorausdeutungen, Rückwendungen, Zusammenfassungen, Leseranreden, fiktiver Diskurs mit den Figuren, (= "überlegene Distanz zum Erzählten, um die </w:t>
            </w:r>
            <w:r w:rsidRPr="00854CD1">
              <w:rPr>
                <w:rFonts w:asciiTheme="majorHAnsi" w:hAnsiTheme="majorHAnsi" w:cs="Arial"/>
                <w:i/>
                <w:iCs/>
              </w:rPr>
              <w:t>Distanz zum Leser abzubauen</w:t>
            </w:r>
            <w:r w:rsidRPr="00854CD1">
              <w:rPr>
                <w:rFonts w:asciiTheme="majorHAnsi" w:hAnsiTheme="majorHAnsi" w:cs="Arial"/>
              </w:rPr>
              <w:t>" (Graevenitz 1982, S.93)</w:t>
            </w:r>
          </w:p>
        </w:tc>
      </w:tr>
      <w:tr w:rsidR="00C2482C" w14:paraId="3BA3DC7F" w14:textId="77777777" w:rsidTr="00854CD1">
        <w:trPr>
          <w:tblCellSpacing w:w="0" w:type="dxa"/>
        </w:trPr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502C00BA" w14:textId="1026A9C6" w:rsidR="00C2482C" w:rsidRPr="00854CD1" w:rsidRDefault="00C2482C" w:rsidP="00854CD1">
            <w:pPr>
              <w:pStyle w:val="berschrift2"/>
              <w:spacing w:before="240"/>
              <w:ind w:left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persona</w:t>
            </w: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l</w:t>
            </w:r>
          </w:p>
        </w:tc>
        <w:tc>
          <w:tcPr>
            <w:tcW w:w="42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4324CDB5" w14:textId="77777777" w:rsidR="00C2482C" w:rsidRPr="00854CD1" w:rsidRDefault="00C2482C" w:rsidP="00C84A05">
            <w:pPr>
              <w:numPr>
                <w:ilvl w:val="0"/>
                <w:numId w:val="46"/>
              </w:numPr>
              <w:spacing w:before="120" w:after="100" w:afterAutospacing="1"/>
              <w:ind w:left="714" w:hanging="357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Dargestellte Wirklichkeit wird nicht von einem persönlich konturierten Erzähler vermittelt, sondern spiegelt sich im Bewusstsein einer Figur.</w:t>
            </w:r>
          </w:p>
          <w:p w14:paraId="75F463C1" w14:textId="77777777" w:rsidR="00C2482C" w:rsidRPr="00854CD1" w:rsidRDefault="00C2482C" w:rsidP="00C84A05">
            <w:pPr>
              <w:numPr>
                <w:ilvl w:val="0"/>
                <w:numId w:val="46"/>
              </w:numPr>
              <w:spacing w:before="100" w:beforeAutospacing="1" w:after="120"/>
              <w:ind w:left="714" w:hanging="357"/>
              <w:rPr>
                <w:rFonts w:asciiTheme="majorHAnsi" w:eastAsia="Arial Unicode MS" w:hAnsiTheme="majorHAnsi" w:cs="Arial Unicode MS"/>
                <w:sz w:val="24"/>
              </w:rPr>
            </w:pPr>
            <w:r w:rsidRPr="00854CD1">
              <w:rPr>
                <w:rFonts w:asciiTheme="majorHAnsi" w:hAnsiTheme="majorHAnsi" w:cs="Arial"/>
              </w:rPr>
              <w:t>Suggestive Wirkung auf den Leser, dem die erzählte Wirklichkeit abhängig von der Wahrnehmung einer beteiligten Figur, bedingt von ihren Gefühlen und Gedanken vermittelt wird.</w:t>
            </w:r>
            <w:r w:rsidRPr="00854CD1">
              <w:rPr>
                <w:rFonts w:asciiTheme="majorHAnsi" w:hAnsiTheme="majorHAnsi" w:cs="Arial"/>
              </w:rPr>
              <w:br/>
              <w:t>(vgl. Bleissem u.a. 1996, S.73)</w:t>
            </w:r>
          </w:p>
        </w:tc>
      </w:tr>
      <w:tr w:rsidR="00C2482C" w14:paraId="44B91A82" w14:textId="77777777" w:rsidTr="00854CD1">
        <w:trPr>
          <w:tblCellSpacing w:w="0" w:type="dxa"/>
        </w:trPr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23BC306C" w14:textId="364BBDBD" w:rsidR="00C2482C" w:rsidRPr="00854CD1" w:rsidRDefault="00C2482C" w:rsidP="00854CD1">
            <w:pPr>
              <w:pStyle w:val="berschrift2"/>
              <w:spacing w:before="240"/>
              <w:ind w:left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neutral</w:t>
            </w:r>
          </w:p>
        </w:tc>
        <w:tc>
          <w:tcPr>
            <w:tcW w:w="42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059A71BC" w14:textId="77777777" w:rsidR="00C2482C" w:rsidRPr="00854CD1" w:rsidRDefault="00C2482C" w:rsidP="00C84A05">
            <w:pPr>
              <w:numPr>
                <w:ilvl w:val="0"/>
                <w:numId w:val="47"/>
              </w:numPr>
              <w:spacing w:before="120" w:after="100" w:afterAutospacing="1"/>
              <w:ind w:left="714" w:hanging="357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Erzähler zieht sich ganz aus der Figurenwelt zurück.</w:t>
            </w:r>
          </w:p>
          <w:p w14:paraId="1109EC40" w14:textId="77777777" w:rsidR="00C2482C" w:rsidRPr="00854CD1" w:rsidRDefault="00C2482C" w:rsidP="00C84A05">
            <w:pPr>
              <w:numPr>
                <w:ilvl w:val="0"/>
                <w:numId w:val="47"/>
              </w:numPr>
              <w:spacing w:before="100" w:beforeAutospacing="1" w:after="120"/>
              <w:ind w:left="714" w:hanging="357"/>
              <w:rPr>
                <w:rFonts w:asciiTheme="majorHAnsi" w:eastAsia="Arial Unicode MS" w:hAnsiTheme="majorHAnsi" w:cs="Arial Unicode MS"/>
                <w:sz w:val="24"/>
              </w:rPr>
            </w:pPr>
            <w:r w:rsidRPr="00854CD1">
              <w:rPr>
                <w:rFonts w:asciiTheme="majorHAnsi" w:hAnsiTheme="majorHAnsi" w:cs="Arial"/>
              </w:rPr>
              <w:t xml:space="preserve">Erzähler greift weder als erkennbare auktoriale Erzählerpersönlichkeit ins Geschehen ein, noch wählt er die individuelle Optik einer der beteiligten Figuren (hoher Anteil </w:t>
            </w:r>
            <w:r w:rsidRPr="00854CD1">
              <w:rPr>
                <w:rFonts w:asciiTheme="majorHAnsi" w:hAnsiTheme="majorHAnsi" w:cs="Arial"/>
                <w:i/>
                <w:iCs/>
              </w:rPr>
              <w:t>szenischer Darstellung</w:t>
            </w:r>
            <w:r w:rsidRPr="00854CD1">
              <w:rPr>
                <w:rFonts w:asciiTheme="majorHAnsi" w:hAnsiTheme="majorHAnsi" w:cs="Arial"/>
              </w:rPr>
              <w:t>).</w:t>
            </w:r>
            <w:r w:rsidRPr="00854CD1">
              <w:rPr>
                <w:rFonts w:asciiTheme="majorHAnsi" w:hAnsiTheme="majorHAnsi" w:cs="Arial"/>
              </w:rPr>
              <w:br/>
              <w:t>(vgl. Bleissem u.a. 1996, S.74)</w:t>
            </w:r>
          </w:p>
        </w:tc>
      </w:tr>
      <w:tr w:rsidR="00C2482C" w14:paraId="0ACB3576" w14:textId="77777777" w:rsidTr="00854CD1">
        <w:trPr>
          <w:tblCellSpacing w:w="0" w:type="dxa"/>
        </w:trPr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44755A0C" w14:textId="12BAC6F7" w:rsidR="00C2482C" w:rsidRPr="00854CD1" w:rsidRDefault="00C2482C" w:rsidP="00854CD1">
            <w:pPr>
              <w:pStyle w:val="berschrift2"/>
              <w:spacing w:before="240"/>
              <w:ind w:left="283"/>
              <w:rPr>
                <w:rFonts w:ascii="Calibri" w:eastAsia="Arial Unicode MS" w:hAnsi="Calibri" w:cs="Arial Unicode MS"/>
                <w:b/>
                <w:bCs/>
                <w:color w:val="auto"/>
                <w:sz w:val="22"/>
                <w:szCs w:val="22"/>
              </w:rPr>
            </w:pPr>
            <w:r w:rsidRPr="00854CD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Ich-Form</w:t>
            </w:r>
          </w:p>
        </w:tc>
        <w:tc>
          <w:tcPr>
            <w:tcW w:w="42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650C62C3" w14:textId="77777777" w:rsidR="00C2482C" w:rsidRPr="00854CD1" w:rsidRDefault="00C2482C" w:rsidP="00C84A05">
            <w:pPr>
              <w:numPr>
                <w:ilvl w:val="0"/>
                <w:numId w:val="48"/>
              </w:numPr>
              <w:spacing w:before="120" w:after="100" w:afterAutospacing="1"/>
              <w:ind w:left="714" w:hanging="357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Anwesenheit eines Erzähler-Mediums in Ich-Form</w:t>
            </w:r>
          </w:p>
          <w:p w14:paraId="2735BBF7" w14:textId="77777777" w:rsidR="00C2482C" w:rsidRPr="00854CD1" w:rsidRDefault="00C2482C" w:rsidP="00C84A05">
            <w:pPr>
              <w:numPr>
                <w:ilvl w:val="0"/>
                <w:numId w:val="48"/>
              </w:numPr>
              <w:spacing w:after="100" w:afterAutospacing="1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 xml:space="preserve">Unterscheidung zwischen </w:t>
            </w:r>
            <w:r w:rsidRPr="00854CD1">
              <w:rPr>
                <w:rFonts w:asciiTheme="majorHAnsi" w:hAnsiTheme="majorHAnsi" w:cs="Arial"/>
                <w:i/>
                <w:iCs/>
              </w:rPr>
              <w:t>erlebendem</w:t>
            </w:r>
            <w:r w:rsidRPr="00854CD1">
              <w:rPr>
                <w:rFonts w:asciiTheme="majorHAnsi" w:hAnsiTheme="majorHAnsi" w:cs="Arial"/>
              </w:rPr>
              <w:t xml:space="preserve"> und </w:t>
            </w:r>
            <w:r w:rsidRPr="00854CD1">
              <w:rPr>
                <w:rFonts w:asciiTheme="majorHAnsi" w:hAnsiTheme="majorHAnsi" w:cs="Arial"/>
                <w:i/>
                <w:iCs/>
              </w:rPr>
              <w:t>erzählendem Ich</w:t>
            </w:r>
          </w:p>
          <w:p w14:paraId="5378C680" w14:textId="77777777" w:rsidR="00C2482C" w:rsidRPr="00854CD1" w:rsidRDefault="00C2482C" w:rsidP="00C84A05">
            <w:pPr>
              <w:numPr>
                <w:ilvl w:val="0"/>
                <w:numId w:val="48"/>
              </w:numPr>
              <w:spacing w:after="100" w:afterAutospacing="1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Ich-Form prinzipiell mit jeder der drei Erzählperspektiven (auktorial, personal und neutral) verknüpfbar</w:t>
            </w:r>
          </w:p>
          <w:p w14:paraId="5B63F92F" w14:textId="4123B1F9" w:rsidR="00C2482C" w:rsidRPr="00854CD1" w:rsidRDefault="00C2482C" w:rsidP="00C84A05">
            <w:pPr>
              <w:numPr>
                <w:ilvl w:val="0"/>
                <w:numId w:val="48"/>
              </w:numPr>
              <w:spacing w:after="120"/>
              <w:rPr>
                <w:rFonts w:asciiTheme="majorHAnsi" w:hAnsiTheme="majorHAnsi"/>
              </w:rPr>
            </w:pPr>
            <w:r w:rsidRPr="00854CD1">
              <w:rPr>
                <w:rFonts w:asciiTheme="majorHAnsi" w:hAnsiTheme="majorHAnsi" w:cs="Arial"/>
              </w:rPr>
              <w:t>Besonderheit: stets vorhandene emotionale Eingebundenheit des Ichs in das Geschehen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0F0F0"/>
                <w:left w:val="outset" w:sz="6" w:space="0" w:color="F0F0F0"/>
                <w:bottom w:val="outset" w:sz="6" w:space="0" w:color="F0F0F0"/>
                <w:right w:val="outset" w:sz="6" w:space="0" w:color="F0F0F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823"/>
              <w:gridCol w:w="3824"/>
            </w:tblGrid>
            <w:tr w:rsidR="00C2482C" w:rsidRPr="00854CD1" w14:paraId="529DEB01" w14:textId="77777777" w:rsidTr="00854CD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FFFFFF" w:themeFill="background1"/>
                </w:tcPr>
                <w:p w14:paraId="255B745D" w14:textId="77777777" w:rsidR="00C2482C" w:rsidRPr="00854CD1" w:rsidRDefault="00C2482C" w:rsidP="007F64E6">
                  <w:pPr>
                    <w:jc w:val="center"/>
                    <w:rPr>
                      <w:rFonts w:asciiTheme="majorHAnsi" w:eastAsia="Arial Unicode MS" w:hAnsiTheme="majorHAnsi" w:cs="Arial Unicode MS"/>
                      <w:sz w:val="24"/>
                    </w:rPr>
                  </w:pPr>
                  <w:r w:rsidRPr="00854CD1">
                    <w:rPr>
                      <w:rFonts w:asciiTheme="majorHAnsi" w:hAnsiTheme="majorHAnsi" w:cs="Arial"/>
                      <w:b/>
                      <w:bCs/>
                    </w:rPr>
                    <w:t>Auktoriale Ich-Erzählung</w:t>
                  </w:r>
                </w:p>
              </w:tc>
              <w:tc>
                <w:tcPr>
                  <w:tcW w:w="2500" w:type="pct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FFFFFF" w:themeFill="background1"/>
                </w:tcPr>
                <w:p w14:paraId="408BEA07" w14:textId="77777777" w:rsidR="00C2482C" w:rsidRPr="00854CD1" w:rsidRDefault="00C2482C" w:rsidP="007F64E6">
                  <w:pPr>
                    <w:jc w:val="center"/>
                    <w:rPr>
                      <w:rFonts w:asciiTheme="majorHAnsi" w:eastAsia="Arial Unicode MS" w:hAnsiTheme="majorHAnsi" w:cs="Arial Unicode MS"/>
                      <w:sz w:val="24"/>
                    </w:rPr>
                  </w:pPr>
                  <w:r w:rsidRPr="00854CD1">
                    <w:rPr>
                      <w:rFonts w:asciiTheme="majorHAnsi" w:hAnsiTheme="majorHAnsi" w:cs="Arial"/>
                      <w:b/>
                      <w:bCs/>
                    </w:rPr>
                    <w:t>Personale Ich-Erzählung</w:t>
                  </w:r>
                </w:p>
              </w:tc>
            </w:tr>
            <w:tr w:rsidR="00C2482C" w:rsidRPr="00854CD1" w14:paraId="65044C9C" w14:textId="77777777" w:rsidTr="007F64E6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</w:tcPr>
                <w:p w14:paraId="0F4D64C0" w14:textId="77777777" w:rsidR="00C2482C" w:rsidRPr="00854CD1" w:rsidRDefault="00C2482C" w:rsidP="00C84A05">
                  <w:pPr>
                    <w:spacing w:before="120" w:after="120"/>
                    <w:rPr>
                      <w:rFonts w:asciiTheme="majorHAnsi" w:eastAsia="Arial Unicode MS" w:hAnsiTheme="majorHAnsi" w:cs="Arial Unicode MS"/>
                      <w:sz w:val="24"/>
                    </w:rPr>
                  </w:pPr>
                  <w:r w:rsidRPr="00854CD1">
                    <w:rPr>
                      <w:rFonts w:asciiTheme="majorHAnsi" w:hAnsiTheme="majorHAnsi" w:cs="Arial"/>
                    </w:rPr>
                    <w:t xml:space="preserve">erzählendes Ich (= </w:t>
                  </w:r>
                  <w:r w:rsidRPr="00854CD1">
                    <w:rPr>
                      <w:rFonts w:asciiTheme="majorHAnsi" w:hAnsiTheme="majorHAnsi" w:cs="Arial"/>
                      <w:i/>
                      <w:iCs/>
                    </w:rPr>
                    <w:t>sich erinnerndes Ich</w:t>
                  </w:r>
                  <w:r w:rsidRPr="00854CD1">
                    <w:rPr>
                      <w:rFonts w:asciiTheme="majorHAnsi" w:hAnsiTheme="majorHAnsi" w:cs="Arial"/>
                    </w:rPr>
                    <w:t>) kommentiert, wertet oder distanziert sich von früherem Verhalten des erlebenden Ichs</w:t>
                  </w:r>
                </w:p>
              </w:tc>
              <w:tc>
                <w:tcPr>
                  <w:tcW w:w="2500" w:type="pct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</w:tcPr>
                <w:p w14:paraId="271ED5FF" w14:textId="77777777" w:rsidR="00C2482C" w:rsidRPr="00854CD1" w:rsidRDefault="00C2482C" w:rsidP="00C84A05">
                  <w:pPr>
                    <w:spacing w:before="120" w:after="120"/>
                    <w:rPr>
                      <w:rFonts w:asciiTheme="majorHAnsi" w:eastAsia="Arial Unicode MS" w:hAnsiTheme="majorHAnsi" w:cs="Arial Unicode MS"/>
                      <w:sz w:val="24"/>
                    </w:rPr>
                  </w:pPr>
                  <w:r w:rsidRPr="00854CD1">
                    <w:rPr>
                      <w:rFonts w:asciiTheme="majorHAnsi" w:hAnsiTheme="majorHAnsi" w:cs="Arial"/>
                    </w:rPr>
                    <w:t xml:space="preserve">Geschehen wird nur oder weitgehend aus der Sicht des erlebendes Ichs (= </w:t>
                  </w:r>
                  <w:r w:rsidRPr="000D0A63">
                    <w:rPr>
                      <w:rFonts w:asciiTheme="majorHAnsi" w:hAnsiTheme="majorHAnsi" w:cs="Arial"/>
                      <w:i/>
                      <w:iCs/>
                    </w:rPr>
                    <w:t>erinnertes Ich</w:t>
                  </w:r>
                  <w:r w:rsidRPr="00854CD1">
                    <w:rPr>
                      <w:rFonts w:asciiTheme="majorHAnsi" w:hAnsiTheme="majorHAnsi" w:cs="Arial"/>
                    </w:rPr>
                    <w:t>) vermittelt</w:t>
                  </w:r>
                  <w:bookmarkStart w:id="0" w:name="_GoBack"/>
                  <w:bookmarkEnd w:id="0"/>
                </w:p>
              </w:tc>
            </w:tr>
          </w:tbl>
          <w:p w14:paraId="70FBE69E" w14:textId="77777777" w:rsidR="00C2482C" w:rsidRPr="00854CD1" w:rsidRDefault="00C2482C" w:rsidP="007F64E6">
            <w:pPr>
              <w:rPr>
                <w:rFonts w:asciiTheme="majorHAnsi" w:eastAsia="Arial Unicode MS" w:hAnsiTheme="majorHAnsi" w:cs="Arial Unicode MS"/>
                <w:sz w:val="24"/>
              </w:rPr>
            </w:pPr>
          </w:p>
        </w:tc>
      </w:tr>
    </w:tbl>
    <w:p w14:paraId="79329374" w14:textId="7AC774D5" w:rsidR="00C84A05" w:rsidRDefault="00C84A05" w:rsidP="00C84A05">
      <w:pPr>
        <w:spacing w:before="240"/>
      </w:pPr>
      <w:r>
        <w:t>Quellen:</w:t>
      </w:r>
    </w:p>
    <w:p w14:paraId="6C60D2ED" w14:textId="116F62EB" w:rsidR="000D41CD" w:rsidRDefault="000D41CD" w:rsidP="00C84A05">
      <w:pPr>
        <w:pStyle w:val="Listenabsatz"/>
        <w:numPr>
          <w:ilvl w:val="0"/>
          <w:numId w:val="49"/>
        </w:numPr>
        <w:spacing w:before="120"/>
      </w:pPr>
      <w:r w:rsidRPr="000D41CD">
        <w:t>Bleissem, Isabella u. Hanns-Peter Reisner: Uni-Training - Neuere deutsche Literaturwissenschaft. Gattungen - Literarische Texte in typologischer Sicht, Stuttgart: Klett 1996</w:t>
      </w:r>
    </w:p>
    <w:p w14:paraId="30CE9F4C" w14:textId="1D4012C9" w:rsidR="00C2482C" w:rsidRDefault="00854CD1" w:rsidP="00C84A05">
      <w:pPr>
        <w:pStyle w:val="Listenabsatz"/>
        <w:numPr>
          <w:ilvl w:val="0"/>
          <w:numId w:val="49"/>
        </w:numPr>
      </w:pPr>
      <w:r w:rsidRPr="00854CD1">
        <w:t>Graevenitz, Gerhart von</w:t>
      </w:r>
      <w:r w:rsidR="00C84A05">
        <w:t>:</w:t>
      </w:r>
      <w:r w:rsidRPr="00854CD1">
        <w:t xml:space="preserve"> Erzähler, in: Ludwig, Hans-Werner (Hg</w:t>
      </w:r>
      <w:r>
        <w:t>)</w:t>
      </w:r>
      <w:r w:rsidRPr="00854CD1">
        <w:t xml:space="preserve"> (1982): Arbeitsbuch Romananalysen. Tübingen: Günter Narr Verlag 1982 1982, S.78-105)</w:t>
      </w:r>
    </w:p>
    <w:p w14:paraId="57F0EACA" w14:textId="07EEFBC2" w:rsidR="00C84A05" w:rsidRDefault="00C84A05" w:rsidP="00C84A05">
      <w:pPr>
        <w:pStyle w:val="Listenabsatz"/>
        <w:numPr>
          <w:ilvl w:val="0"/>
          <w:numId w:val="49"/>
        </w:numPr>
      </w:pPr>
      <w:r>
        <w:t xml:space="preserve">Stanzel, Franz  K. </w:t>
      </w:r>
      <w:r w:rsidRPr="00C84A05">
        <w:t>Die typischen Erzählsituationen im Roman 1955, Typische Formen des Romans 1964, Theorie des Erzählens 1979</w:t>
      </w:r>
    </w:p>
    <w:sectPr w:rsidR="00C84A05" w:rsidSect="00D327E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0D37" w14:textId="77777777" w:rsidR="00F460AB" w:rsidRDefault="00F460AB" w:rsidP="003016EC">
      <w:r>
        <w:separator/>
      </w:r>
    </w:p>
  </w:endnote>
  <w:endnote w:type="continuationSeparator" w:id="0">
    <w:p w14:paraId="3F7093AF" w14:textId="77777777" w:rsidR="00F460AB" w:rsidRDefault="00F460AB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710D" w14:textId="77777777" w:rsidR="00F460AB" w:rsidRDefault="00F460AB" w:rsidP="003016EC">
      <w:r>
        <w:separator/>
      </w:r>
    </w:p>
  </w:footnote>
  <w:footnote w:type="continuationSeparator" w:id="0">
    <w:p w14:paraId="5A940409" w14:textId="77777777" w:rsidR="00F460AB" w:rsidRDefault="00F460AB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D517A"/>
    <w:multiLevelType w:val="hybridMultilevel"/>
    <w:tmpl w:val="F5D4868A"/>
    <w:lvl w:ilvl="0" w:tplc="F3F45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829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B63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4A9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127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14F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A5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CC6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EEC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9587F"/>
    <w:multiLevelType w:val="hybridMultilevel"/>
    <w:tmpl w:val="A7920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0BBE"/>
    <w:multiLevelType w:val="hybridMultilevel"/>
    <w:tmpl w:val="487E9B86"/>
    <w:lvl w:ilvl="0" w:tplc="FF7A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83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5E6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20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409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38C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145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40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3E7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422BB"/>
    <w:multiLevelType w:val="hybridMultilevel"/>
    <w:tmpl w:val="0ADAC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0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57747D"/>
    <w:multiLevelType w:val="hybridMultilevel"/>
    <w:tmpl w:val="55983818"/>
    <w:lvl w:ilvl="0" w:tplc="7D522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B6C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EED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83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EA8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542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B05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44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340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769B9"/>
    <w:multiLevelType w:val="hybridMultilevel"/>
    <w:tmpl w:val="71204616"/>
    <w:lvl w:ilvl="0" w:tplc="342CC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8AB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0E7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20A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2A5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3C2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BC8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747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3C0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12"/>
  </w:num>
  <w:num w:numId="5">
    <w:abstractNumId w:val="42"/>
  </w:num>
  <w:num w:numId="6">
    <w:abstractNumId w:val="8"/>
  </w:num>
  <w:num w:numId="7">
    <w:abstractNumId w:val="2"/>
  </w:num>
  <w:num w:numId="8">
    <w:abstractNumId w:val="0"/>
  </w:num>
  <w:num w:numId="9">
    <w:abstractNumId w:val="23"/>
  </w:num>
  <w:num w:numId="10">
    <w:abstractNumId w:val="47"/>
  </w:num>
  <w:num w:numId="11">
    <w:abstractNumId w:val="37"/>
  </w:num>
  <w:num w:numId="12">
    <w:abstractNumId w:val="29"/>
  </w:num>
  <w:num w:numId="13">
    <w:abstractNumId w:val="39"/>
  </w:num>
  <w:num w:numId="14">
    <w:abstractNumId w:val="14"/>
  </w:num>
  <w:num w:numId="15">
    <w:abstractNumId w:val="27"/>
  </w:num>
  <w:num w:numId="16">
    <w:abstractNumId w:val="36"/>
  </w:num>
  <w:num w:numId="17">
    <w:abstractNumId w:val="24"/>
  </w:num>
  <w:num w:numId="18">
    <w:abstractNumId w:val="31"/>
  </w:num>
  <w:num w:numId="19">
    <w:abstractNumId w:val="45"/>
  </w:num>
  <w:num w:numId="20">
    <w:abstractNumId w:val="15"/>
  </w:num>
  <w:num w:numId="21">
    <w:abstractNumId w:val="34"/>
  </w:num>
  <w:num w:numId="22">
    <w:abstractNumId w:val="20"/>
  </w:num>
  <w:num w:numId="23">
    <w:abstractNumId w:val="6"/>
  </w:num>
  <w:num w:numId="24">
    <w:abstractNumId w:val="40"/>
  </w:num>
  <w:num w:numId="25">
    <w:abstractNumId w:val="11"/>
  </w:num>
  <w:num w:numId="26">
    <w:abstractNumId w:val="22"/>
  </w:num>
  <w:num w:numId="27">
    <w:abstractNumId w:val="7"/>
  </w:num>
  <w:num w:numId="28">
    <w:abstractNumId w:val="38"/>
  </w:num>
  <w:num w:numId="29">
    <w:abstractNumId w:val="21"/>
  </w:num>
  <w:num w:numId="30">
    <w:abstractNumId w:val="28"/>
  </w:num>
  <w:num w:numId="31">
    <w:abstractNumId w:val="3"/>
  </w:num>
  <w:num w:numId="32">
    <w:abstractNumId w:val="16"/>
  </w:num>
  <w:num w:numId="33">
    <w:abstractNumId w:val="18"/>
  </w:num>
  <w:num w:numId="34">
    <w:abstractNumId w:val="17"/>
  </w:num>
  <w:num w:numId="35">
    <w:abstractNumId w:val="46"/>
  </w:num>
  <w:num w:numId="36">
    <w:abstractNumId w:val="4"/>
  </w:num>
  <w:num w:numId="37">
    <w:abstractNumId w:val="43"/>
  </w:num>
  <w:num w:numId="38">
    <w:abstractNumId w:val="9"/>
  </w:num>
  <w:num w:numId="39">
    <w:abstractNumId w:val="10"/>
  </w:num>
  <w:num w:numId="40">
    <w:abstractNumId w:val="41"/>
  </w:num>
  <w:num w:numId="41">
    <w:abstractNumId w:val="19"/>
  </w:num>
  <w:num w:numId="42">
    <w:abstractNumId w:val="13"/>
  </w:num>
  <w:num w:numId="43">
    <w:abstractNumId w:val="5"/>
  </w:num>
  <w:num w:numId="44">
    <w:abstractNumId w:val="35"/>
  </w:num>
  <w:num w:numId="45">
    <w:abstractNumId w:val="48"/>
  </w:num>
  <w:num w:numId="46">
    <w:abstractNumId w:val="32"/>
  </w:num>
  <w:num w:numId="47">
    <w:abstractNumId w:val="44"/>
  </w:num>
  <w:num w:numId="48">
    <w:abstractNumId w:val="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D0A63"/>
    <w:rsid w:val="000D41CD"/>
    <w:rsid w:val="000D7F4D"/>
    <w:rsid w:val="000F3433"/>
    <w:rsid w:val="00101F46"/>
    <w:rsid w:val="00153614"/>
    <w:rsid w:val="00173581"/>
    <w:rsid w:val="00183329"/>
    <w:rsid w:val="001847B8"/>
    <w:rsid w:val="0019512F"/>
    <w:rsid w:val="001B52BE"/>
    <w:rsid w:val="001B6478"/>
    <w:rsid w:val="001C62B6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3430"/>
    <w:rsid w:val="00486EE5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3794C"/>
    <w:rsid w:val="007528A3"/>
    <w:rsid w:val="00773F41"/>
    <w:rsid w:val="007D051E"/>
    <w:rsid w:val="007D56D8"/>
    <w:rsid w:val="007F1B85"/>
    <w:rsid w:val="00805A22"/>
    <w:rsid w:val="008066B3"/>
    <w:rsid w:val="00854CD1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2482C"/>
    <w:rsid w:val="00C40B74"/>
    <w:rsid w:val="00C43AFE"/>
    <w:rsid w:val="00C47743"/>
    <w:rsid w:val="00C61BAA"/>
    <w:rsid w:val="00C61D7E"/>
    <w:rsid w:val="00C831BA"/>
    <w:rsid w:val="00C84A05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E12981"/>
    <w:rsid w:val="00E765F4"/>
    <w:rsid w:val="00EB6F45"/>
    <w:rsid w:val="00EC2549"/>
    <w:rsid w:val="00ED263A"/>
    <w:rsid w:val="00EE2BE8"/>
    <w:rsid w:val="00F0664A"/>
    <w:rsid w:val="00F300C0"/>
    <w:rsid w:val="00F3736C"/>
    <w:rsid w:val="00F460AB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4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48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01431-0300-4675-A16B-5B04B630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Erzählperspektiven 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5</cp:revision>
  <cp:lastPrinted>2019-04-04T15:18:00Z</cp:lastPrinted>
  <dcterms:created xsi:type="dcterms:W3CDTF">2019-06-18T16:01:00Z</dcterms:created>
  <dcterms:modified xsi:type="dcterms:W3CDTF">2019-06-18T17:50:00Z</dcterms:modified>
</cp:coreProperties>
</file>