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AF32" w14:textId="1E80A1CB" w:rsidR="006335F7" w:rsidRPr="001235EF" w:rsidRDefault="006335F7" w:rsidP="001235EF">
      <w:pPr>
        <w:pStyle w:val="berschrift1"/>
        <w:keepNext/>
        <w:framePr w:dropCap="drop" w:lines="2" w:h="1008" w:hRule="exact" w:hSpace="284" w:wrap="around" w:vAnchor="text" w:hAnchor="text"/>
        <w:spacing w:after="0" w:line="1008" w:lineRule="exact"/>
        <w:textAlignment w:val="baseline"/>
        <w:rPr>
          <w:rFonts w:ascii="Arial Black" w:hAnsi="Arial Black"/>
          <w:color w:val="365F91" w:themeColor="accent1" w:themeShade="BF"/>
          <w:position w:val="16"/>
          <w:sz w:val="83"/>
        </w:rPr>
      </w:pPr>
      <w:r w:rsidRPr="001235EF">
        <w:rPr>
          <w:rFonts w:ascii="Arial Black" w:hAnsi="Arial Black"/>
          <w:color w:val="365F91" w:themeColor="accent1" w:themeShade="BF"/>
          <w:position w:val="16"/>
          <w:sz w:val="83"/>
        </w:rPr>
        <w:t>Quickie</w:t>
      </w:r>
    </w:p>
    <w:p w14:paraId="596BB25E" w14:textId="43B3E9A3" w:rsidR="001235EF" w:rsidRDefault="0031518D" w:rsidP="0031518D">
      <w:pPr>
        <w:pStyle w:val="berschrift1"/>
        <w:rPr>
          <w:rFonts w:asciiTheme="minorHAnsi" w:hAnsiTheme="minorHAnsi"/>
          <w:color w:val="365F91" w:themeColor="accent1" w:themeShade="BF"/>
          <w:sz w:val="32"/>
        </w:rPr>
      </w:pPr>
      <w:r>
        <w:rPr>
          <w:rFonts w:asciiTheme="minorHAnsi" w:hAnsiTheme="minorHAnsi"/>
          <w:noProof/>
          <w:color w:val="365F91" w:themeColor="accent1" w:themeShade="BF"/>
          <w:sz w:val="32"/>
        </w:rPr>
        <mc:AlternateContent>
          <mc:Choice Requires="wps">
            <w:drawing>
              <wp:anchor distT="0" distB="0" distL="114300" distR="114300" simplePos="0" relativeHeight="251661312" behindDoc="0" locked="0" layoutInCell="1" allowOverlap="1" wp14:anchorId="4A089EF7" wp14:editId="3C302D39">
                <wp:simplePos x="0" y="0"/>
                <wp:positionH relativeFrom="column">
                  <wp:posOffset>-88265</wp:posOffset>
                </wp:positionH>
                <wp:positionV relativeFrom="paragraph">
                  <wp:posOffset>618297</wp:posOffset>
                </wp:positionV>
                <wp:extent cx="5606589" cy="413468"/>
                <wp:effectExtent l="0" t="0" r="13335" b="24765"/>
                <wp:wrapNone/>
                <wp:docPr id="3" name="Textfeld 3"/>
                <wp:cNvGraphicFramePr/>
                <a:graphic xmlns:a="http://schemas.openxmlformats.org/drawingml/2006/main">
                  <a:graphicData uri="http://schemas.microsoft.com/office/word/2010/wordprocessingShape">
                    <wps:wsp>
                      <wps:cNvSpPr txBox="1"/>
                      <wps:spPr>
                        <a:xfrm>
                          <a:off x="0" y="0"/>
                          <a:ext cx="5606589" cy="413468"/>
                        </a:xfrm>
                        <a:prstGeom prst="rect">
                          <a:avLst/>
                        </a:prstGeom>
                        <a:solidFill>
                          <a:schemeClr val="lt1"/>
                        </a:solidFill>
                        <a:ln w="6350">
                          <a:solidFill>
                            <a:schemeClr val="bg1">
                              <a:lumMod val="95000"/>
                            </a:schemeClr>
                          </a:solidFill>
                        </a:ln>
                      </wps:spPr>
                      <wps:txbx>
                        <w:txbxContent>
                          <w:p w14:paraId="2FB8C76E" w14:textId="0ACCCA17" w:rsidR="0031518D" w:rsidRPr="0031518D" w:rsidRDefault="00090D74">
                            <w:pPr>
                              <w:rPr>
                                <w14:textOutline w14:w="3175" w14:cap="rnd" w14:cmpd="sng" w14:algn="ctr">
                                  <w14:solidFill>
                                    <w14:schemeClr w14:val="bg1">
                                      <w14:lumMod w14:val="85000"/>
                                    </w14:schemeClr>
                                  </w14:solidFill>
                                  <w14:prstDash w14:val="solid"/>
                                  <w14:bevel/>
                                </w14:textOutline>
                              </w:rPr>
                            </w:pPr>
                            <w:r>
                              <w:rPr>
                                <w:rFonts w:asciiTheme="majorHAnsi" w:hAnsiTheme="majorHAnsi"/>
                                <w:b/>
                                <w:bCs/>
                                <w:color w:val="365F91" w:themeColor="accent1" w:themeShade="BF"/>
                                <w:sz w:val="28"/>
                                <w14:textOutline w14:w="3175" w14:cap="rnd" w14:cmpd="sng" w14:algn="ctr">
                                  <w14:solidFill>
                                    <w14:schemeClr w14:val="bg1">
                                      <w14:lumMod w14:val="85000"/>
                                    </w14:schemeClr>
                                  </w14:solidFill>
                                  <w14:prstDash w14:val="solid"/>
                                  <w14:bevel/>
                                </w14:textOutline>
                              </w:rPr>
                              <w:t>Die zehn wichtigsten Regeln für Feedback-Geber und Feedback-Nehmer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89EF7" id="_x0000_t202" coordsize="21600,21600" o:spt="202" path="m,l,21600r21600,l21600,xe">
                <v:stroke joinstyle="miter"/>
                <v:path gradientshapeok="t" o:connecttype="rect"/>
              </v:shapetype>
              <v:shape id="Textfeld 3" o:spid="_x0000_s1026" type="#_x0000_t202" style="position:absolute;margin-left:-6.95pt;margin-top:48.7pt;width:441.4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" fillcolor="white [3201]" strokecolor="#f2f2f2 [3052]" strokeweight=".5pt">
                <v:textbox>
                  <w:txbxContent>
                    <w:p w14:paraId="2FB8C76E" w14:textId="0ACCCA17" w:rsidR="0031518D" w:rsidRPr="0031518D" w:rsidRDefault="00090D74">
                      <w:pPr>
                        <w:rPr>
                          <w14:textOutline w14:w="3175" w14:cap="rnd" w14:cmpd="sng" w14:algn="ctr">
                            <w14:solidFill>
                              <w14:schemeClr w14:val="bg1">
                                <w14:lumMod w14:val="85000"/>
                              </w14:schemeClr>
                            </w14:solidFill>
                            <w14:prstDash w14:val="solid"/>
                            <w14:bevel/>
                          </w14:textOutline>
                        </w:rPr>
                      </w:pPr>
                      <w:r>
                        <w:rPr>
                          <w:rFonts w:asciiTheme="majorHAnsi" w:hAnsiTheme="majorHAnsi"/>
                          <w:b/>
                          <w:bCs/>
                          <w:color w:val="365F91" w:themeColor="accent1" w:themeShade="BF"/>
                          <w:sz w:val="28"/>
                          <w14:textOutline w14:w="3175" w14:cap="rnd" w14:cmpd="sng" w14:algn="ctr">
                            <w14:solidFill>
                              <w14:schemeClr w14:val="bg1">
                                <w14:lumMod w14:val="85000"/>
                              </w14:schemeClr>
                            </w14:solidFill>
                            <w14:prstDash w14:val="solid"/>
                            <w14:bevel/>
                          </w14:textOutline>
                        </w:rPr>
                        <w:t>Die zehn wichtigsten Regeln für Feedback-Geber und Feedback-Nehmer</w:t>
                      </w:r>
                    </w:p>
                  </w:txbxContent>
                </v:textbox>
              </v:shap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60288" behindDoc="0" locked="0" layoutInCell="1" allowOverlap="1" wp14:anchorId="3520B8E7" wp14:editId="71EC4781">
                <wp:simplePos x="0" y="0"/>
                <wp:positionH relativeFrom="column">
                  <wp:posOffset>2241127</wp:posOffset>
                </wp:positionH>
                <wp:positionV relativeFrom="paragraph">
                  <wp:posOffset>-255905</wp:posOffset>
                </wp:positionV>
                <wp:extent cx="0" cy="711200"/>
                <wp:effectExtent l="57150" t="19050" r="76200" b="88900"/>
                <wp:wrapNone/>
                <wp:docPr id="2" name="Gerader Verbinder 2"/>
                <wp:cNvGraphicFramePr/>
                <a:graphic xmlns:a="http://schemas.openxmlformats.org/drawingml/2006/main">
                  <a:graphicData uri="http://schemas.microsoft.com/office/word/2010/wordprocessingShape">
                    <wps:wsp>
                      <wps:cNvCnPr/>
                      <wps:spPr>
                        <a:xfrm>
                          <a:off x="0" y="0"/>
                          <a:ext cx="0" cy="711200"/>
                        </a:xfrm>
                        <a:prstGeom prst="line">
                          <a:avLst/>
                        </a:prstGeom>
                        <a:ln w="9525">
                          <a:solidFill>
                            <a:schemeClr val="tx2">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15835F"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20.15pt" to="17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" strokecolor="#548dd4 [1951]">
                <v:shadow on="t" color="black" opacity="24903f" origin=",.5" offset="0,.55556mm"/>
              </v:lin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59264" behindDoc="0" locked="0" layoutInCell="1" allowOverlap="1" wp14:anchorId="414CFD08" wp14:editId="08AA7BC9">
                <wp:simplePos x="0" y="0"/>
                <wp:positionH relativeFrom="column">
                  <wp:posOffset>1072304</wp:posOffset>
                </wp:positionH>
                <wp:positionV relativeFrom="paragraph">
                  <wp:posOffset>-329565</wp:posOffset>
                </wp:positionV>
                <wp:extent cx="1337099" cy="346921"/>
                <wp:effectExtent l="0" t="0" r="0" b="0"/>
                <wp:wrapNone/>
                <wp:docPr id="1" name="Textfeld 1"/>
                <wp:cNvGraphicFramePr/>
                <a:graphic xmlns:a="http://schemas.openxmlformats.org/drawingml/2006/main">
                  <a:graphicData uri="http://schemas.microsoft.com/office/word/2010/wordprocessingShape">
                    <wps:wsp>
                      <wps:cNvSpPr txBox="1"/>
                      <wps:spPr>
                        <a:xfrm>
                          <a:off x="0" y="0"/>
                          <a:ext cx="1337099" cy="346921"/>
                        </a:xfrm>
                        <a:prstGeom prst="rect">
                          <a:avLst/>
                        </a:prstGeom>
                        <a:noFill/>
                        <a:ln w="6350">
                          <a:noFill/>
                        </a:ln>
                      </wps:spPr>
                      <wps:txb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FD08" id="Textfeld 1" o:spid="_x0000_s1027" type="#_x0000_t202" style="position:absolute;margin-left:84.45pt;margin-top:-25.95pt;width:105.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" filled="f" stroked="f" strokeweight=".5pt">
                <v:textbo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v:textbox>
              </v:shape>
            </w:pict>
          </mc:Fallback>
        </mc:AlternateContent>
      </w:r>
      <w:r w:rsidR="006335F7" w:rsidRPr="001235EF">
        <w:rPr>
          <w:rFonts w:asciiTheme="minorHAnsi" w:hAnsiTheme="minorHAnsi"/>
          <w:color w:val="365F91" w:themeColor="accent1" w:themeShade="BF"/>
          <w:sz w:val="32"/>
        </w:rPr>
        <w:t>Zeit</w:t>
      </w:r>
      <w:r w:rsidR="00090D74">
        <w:rPr>
          <w:rFonts w:asciiTheme="minorHAnsi" w:hAnsiTheme="minorHAnsi"/>
          <w:color w:val="365F91" w:themeColor="accent1" w:themeShade="BF"/>
          <w:sz w:val="32"/>
        </w:rPr>
        <w:t xml:space="preserve"> für die Rückmeldung:</w:t>
      </w:r>
      <w:r w:rsidR="00090D74">
        <w:rPr>
          <w:rFonts w:asciiTheme="minorHAnsi" w:hAnsiTheme="minorHAnsi"/>
          <w:color w:val="365F91" w:themeColor="accent1" w:themeShade="BF"/>
          <w:sz w:val="32"/>
        </w:rPr>
        <w:br/>
        <w:t>Feedback geben und nehmen</w:t>
      </w:r>
    </w:p>
    <w:p w14:paraId="256B94A9" w14:textId="77777777" w:rsidR="001235EF" w:rsidRPr="001235EF" w:rsidRDefault="001235EF" w:rsidP="001235EF"/>
    <w:p w14:paraId="20EF604C" w14:textId="58265D14" w:rsidR="0031518D" w:rsidRDefault="0031518D" w:rsidP="00153F76">
      <w:pPr>
        <w:pStyle w:val="berschrift1"/>
        <w:rPr>
          <w:rFonts w:asciiTheme="minorHAnsi" w:hAnsiTheme="minorHAnsi"/>
          <w:color w:val="365F91" w:themeColor="accent1" w:themeShade="BF"/>
          <w:sz w:val="22"/>
        </w:rPr>
      </w:pPr>
    </w:p>
    <w:p w14:paraId="6F625DAD" w14:textId="7490EF22" w:rsidR="00476446" w:rsidRPr="00476446" w:rsidRDefault="00476446" w:rsidP="00476446">
      <w:pPr>
        <w:spacing w:after="0"/>
        <w:rPr>
          <w:rFonts w:asciiTheme="majorHAnsi" w:hAnsiTheme="majorHAnsi" w:cs="Arial"/>
          <w:sz w:val="22"/>
          <w:szCs w:val="20"/>
        </w:rPr>
      </w:pPr>
      <w:r w:rsidRPr="00476446">
        <w:rPr>
          <w:rFonts w:asciiTheme="majorHAnsi" w:hAnsiTheme="majorHAnsi" w:cs="Arial"/>
          <w:b/>
          <w:bCs/>
          <w:sz w:val="22"/>
          <w:szCs w:val="20"/>
        </w:rPr>
        <w:t>Ein Quickie</w:t>
      </w:r>
      <w:r w:rsidR="002161A8">
        <w:rPr>
          <w:rFonts w:asciiTheme="majorHAnsi" w:hAnsiTheme="majorHAnsi" w:cs="Arial"/>
          <w:b/>
          <w:bCs/>
          <w:sz w:val="22"/>
          <w:szCs w:val="20"/>
        </w:rPr>
        <w:t>: Info kurz und schnell</w:t>
      </w:r>
    </w:p>
    <w:p w14:paraId="2BB0A950" w14:textId="2BFE83FE" w:rsidR="00476446" w:rsidRDefault="00476446" w:rsidP="000F554D">
      <w:pPr>
        <w:spacing w:before="180" w:after="100" w:afterAutospacing="1"/>
        <w:jc w:val="both"/>
        <w:rPr>
          <w:rFonts w:asciiTheme="majorHAnsi" w:hAnsiTheme="majorHAnsi" w:cs="Arial"/>
          <w:sz w:val="22"/>
          <w:szCs w:val="20"/>
        </w:rPr>
      </w:pPr>
      <w:r w:rsidRPr="002161A8">
        <w:rPr>
          <w:rFonts w:asciiTheme="majorHAnsi" w:hAnsiTheme="majorHAnsi" w:cs="Arial"/>
          <w:sz w:val="22"/>
          <w:szCs w:val="20"/>
        </w:rPr>
        <w:t xml:space="preserve">Das Deutsche Universalwörterbuch von DUDEN (2006) </w:t>
      </w:r>
      <w:r w:rsidRPr="00476446">
        <w:rPr>
          <w:rFonts w:asciiTheme="majorHAnsi" w:hAnsiTheme="majorHAnsi" w:cs="Arial"/>
          <w:sz w:val="22"/>
          <w:szCs w:val="20"/>
        </w:rPr>
        <w:t>hält für den Eintrag »</w:t>
      </w:r>
      <w:r w:rsidRPr="00476446">
        <w:rPr>
          <w:rFonts w:asciiTheme="majorHAnsi" w:hAnsiTheme="majorHAnsi" w:cs="Arial"/>
          <w:b/>
          <w:bCs/>
          <w:sz w:val="22"/>
          <w:szCs w:val="20"/>
        </w:rPr>
        <w:t>Quickie</w:t>
      </w:r>
      <w:r w:rsidRPr="00476446">
        <w:rPr>
          <w:rFonts w:asciiTheme="majorHAnsi" w:hAnsiTheme="majorHAnsi" w:cs="Arial"/>
          <w:sz w:val="22"/>
          <w:szCs w:val="20"/>
        </w:rPr>
        <w:t>«, ein Wort</w:t>
      </w:r>
      <w:r w:rsidR="00E94F06">
        <w:rPr>
          <w:rFonts w:asciiTheme="majorHAnsi" w:hAnsiTheme="majorHAnsi" w:cs="Arial"/>
          <w:sz w:val="22"/>
          <w:szCs w:val="20"/>
        </w:rPr>
        <w:t>,</w:t>
      </w:r>
      <w:r w:rsidRPr="00476446">
        <w:rPr>
          <w:rFonts w:asciiTheme="majorHAnsi" w:hAnsiTheme="majorHAnsi" w:cs="Arial"/>
          <w:sz w:val="22"/>
          <w:szCs w:val="20"/>
        </w:rPr>
        <w:t xml:space="preserve"> das von dem englischen Adjektiv </w:t>
      </w:r>
      <w:r w:rsidRPr="00476446">
        <w:rPr>
          <w:rFonts w:asciiTheme="majorHAnsi" w:hAnsiTheme="majorHAnsi" w:cs="Arial"/>
          <w:i/>
          <w:sz w:val="22"/>
          <w:szCs w:val="20"/>
        </w:rPr>
        <w:t>quick</w:t>
      </w:r>
      <w:r w:rsidRPr="00476446">
        <w:rPr>
          <w:rFonts w:asciiTheme="majorHAnsi" w:hAnsiTheme="majorHAnsi" w:cs="Arial"/>
          <w:sz w:val="22"/>
          <w:szCs w:val="20"/>
        </w:rPr>
        <w:t xml:space="preserve"> (dt. schnell) kommt, als </w:t>
      </w:r>
      <w:r w:rsidRPr="00476446">
        <w:rPr>
          <w:rFonts w:asciiTheme="majorHAnsi" w:hAnsiTheme="majorHAnsi" w:cs="Arial"/>
          <w:b/>
          <w:bCs/>
          <w:sz w:val="22"/>
          <w:szCs w:val="20"/>
        </w:rPr>
        <w:t>erste Bedeutungsvariante</w:t>
      </w:r>
      <w:r w:rsidRPr="00476446">
        <w:rPr>
          <w:rFonts w:asciiTheme="majorHAnsi" w:hAnsiTheme="majorHAnsi" w:cs="Arial"/>
          <w:sz w:val="22"/>
          <w:szCs w:val="20"/>
        </w:rPr>
        <w:t xml:space="preserve"> fest, dass es sich dabei um etwas handelt, "was schnell, in verkürzter Form erledigt, abgehandelt o. Ä. wird". </w:t>
      </w:r>
      <w:r w:rsidRPr="00476446">
        <w:rPr>
          <w:rFonts w:asciiTheme="majorHAnsi" w:hAnsiTheme="majorHAnsi" w:cs="Arial"/>
          <w:sz w:val="22"/>
          <w:szCs w:val="20"/>
        </w:rPr>
        <w:br/>
      </w:r>
      <w:r w:rsidRPr="00476446">
        <w:rPr>
          <w:rFonts w:asciiTheme="majorHAnsi" w:hAnsiTheme="majorHAnsi" w:cs="Arial"/>
          <w:b/>
          <w:bCs/>
          <w:sz w:val="22"/>
          <w:szCs w:val="20"/>
        </w:rPr>
        <w:t>teachSam-Quickies</w:t>
      </w:r>
      <w:r w:rsidRPr="00476446">
        <w:rPr>
          <w:rFonts w:asciiTheme="majorHAnsi" w:hAnsiTheme="majorHAnsi" w:cs="Arial"/>
          <w:sz w:val="22"/>
          <w:szCs w:val="20"/>
        </w:rPr>
        <w:t xml:space="preserve"> sind also für alle gedacht, die </w:t>
      </w:r>
      <w:r w:rsidR="009A6AAD">
        <w:rPr>
          <w:rFonts w:asciiTheme="majorHAnsi" w:hAnsiTheme="majorHAnsi" w:cs="Arial"/>
          <w:sz w:val="22"/>
          <w:szCs w:val="20"/>
        </w:rPr>
        <w:t>„</w:t>
      </w:r>
      <w:r w:rsidRPr="00476446">
        <w:rPr>
          <w:rFonts w:asciiTheme="majorHAnsi" w:hAnsiTheme="majorHAnsi" w:cs="Arial"/>
          <w:b/>
          <w:bCs/>
          <w:sz w:val="22"/>
          <w:szCs w:val="20"/>
        </w:rPr>
        <w:t>keine Zeit</w:t>
      </w:r>
      <w:r w:rsidR="009A6AAD">
        <w:rPr>
          <w:rFonts w:asciiTheme="majorHAnsi" w:hAnsiTheme="majorHAnsi" w:cs="Arial"/>
          <w:b/>
          <w:bCs/>
          <w:sz w:val="22"/>
          <w:szCs w:val="20"/>
        </w:rPr>
        <w:t>“</w:t>
      </w:r>
      <w:r w:rsidRPr="00476446">
        <w:rPr>
          <w:rFonts w:asciiTheme="majorHAnsi" w:hAnsiTheme="majorHAnsi" w:cs="Arial"/>
          <w:b/>
          <w:bCs/>
          <w:sz w:val="22"/>
          <w:szCs w:val="20"/>
        </w:rPr>
        <w:t xml:space="preserve"> </w:t>
      </w:r>
      <w:r w:rsidRPr="00476446">
        <w:rPr>
          <w:rFonts w:asciiTheme="majorHAnsi" w:hAnsiTheme="majorHAnsi" w:cs="Arial"/>
          <w:sz w:val="22"/>
          <w:szCs w:val="20"/>
        </w:rPr>
        <w:t xml:space="preserve">dafür haben oder aufwenden wollen, sich mit den Dingen genauer auseinanderzusetzen, aber trotzdem versuchen wollen, </w:t>
      </w:r>
      <w:r w:rsidR="005968B9">
        <w:rPr>
          <w:rFonts w:asciiTheme="majorHAnsi" w:hAnsiTheme="majorHAnsi" w:cs="Arial"/>
          <w:sz w:val="22"/>
          <w:szCs w:val="20"/>
        </w:rPr>
        <w:t>i</w:t>
      </w:r>
      <w:r w:rsidRPr="00476446">
        <w:rPr>
          <w:rFonts w:asciiTheme="majorHAnsi" w:hAnsiTheme="majorHAnsi" w:cs="Arial"/>
          <w:sz w:val="22"/>
          <w:szCs w:val="20"/>
        </w:rPr>
        <w:t>hre Schreibziele zu erreichen.</w:t>
      </w:r>
      <w:r w:rsidR="0077641D">
        <w:rPr>
          <w:rFonts w:asciiTheme="majorHAnsi" w:hAnsiTheme="majorHAnsi" w:cs="Arial"/>
          <w:sz w:val="22"/>
          <w:szCs w:val="20"/>
        </w:rPr>
        <w:t xml:space="preserve"> </w:t>
      </w:r>
      <w:r w:rsidR="00CE6F87">
        <w:rPr>
          <w:rFonts w:asciiTheme="majorHAnsi" w:hAnsiTheme="majorHAnsi" w:cs="Arial"/>
          <w:sz w:val="22"/>
          <w:szCs w:val="20"/>
        </w:rPr>
        <w:t>Ihnen und allen anderen</w:t>
      </w:r>
      <w:r w:rsidR="0077641D">
        <w:rPr>
          <w:rFonts w:asciiTheme="majorHAnsi" w:hAnsiTheme="majorHAnsi" w:cs="Arial"/>
          <w:sz w:val="22"/>
          <w:szCs w:val="20"/>
        </w:rPr>
        <w:t xml:space="preserve"> kann es als eine Art </w:t>
      </w:r>
      <w:r w:rsidR="0077641D" w:rsidRPr="00E801BC">
        <w:rPr>
          <w:rFonts w:asciiTheme="majorHAnsi" w:hAnsiTheme="majorHAnsi" w:cs="Arial"/>
          <w:b/>
          <w:sz w:val="22"/>
          <w:szCs w:val="20"/>
        </w:rPr>
        <w:t>Kurzleitfaden</w:t>
      </w:r>
      <w:r w:rsidR="0077641D">
        <w:rPr>
          <w:rFonts w:asciiTheme="majorHAnsi" w:hAnsiTheme="majorHAnsi" w:cs="Arial"/>
          <w:sz w:val="22"/>
          <w:szCs w:val="20"/>
        </w:rPr>
        <w:t xml:space="preserve"> dienen.</w:t>
      </w:r>
    </w:p>
    <w:p w14:paraId="5E1A7F50" w14:textId="19CAD05C" w:rsidR="007C6521" w:rsidRDefault="00090D74" w:rsidP="00C21419">
      <w:pPr>
        <w:spacing w:before="180" w:after="100" w:afterAutospacing="1"/>
        <w:jc w:val="both"/>
        <w:rPr>
          <w:rFonts w:asciiTheme="majorHAnsi" w:hAnsiTheme="majorHAnsi" w:cs="Arial"/>
          <w:b/>
          <w:sz w:val="22"/>
          <w:szCs w:val="20"/>
        </w:rPr>
      </w:pPr>
      <w:r>
        <w:rPr>
          <w:rFonts w:asciiTheme="majorHAnsi" w:hAnsiTheme="majorHAnsi" w:cs="Arial"/>
          <w:b/>
          <w:sz w:val="22"/>
          <w:szCs w:val="20"/>
        </w:rPr>
        <w:t>Feedback – ein Angebot an einen anderen, mehr über sich zu erfahren</w:t>
      </w:r>
    </w:p>
    <w:p w14:paraId="69BA90FE" w14:textId="14A819B7" w:rsidR="007C6521" w:rsidRPr="007C6521" w:rsidRDefault="00090D74" w:rsidP="007C6521">
      <w:pPr>
        <w:spacing w:before="100" w:beforeAutospacing="1" w:after="100" w:afterAutospacing="1"/>
        <w:jc w:val="both"/>
        <w:rPr>
          <w:rFonts w:asciiTheme="majorHAnsi" w:hAnsiTheme="majorHAnsi" w:cs="Arial"/>
          <w:sz w:val="22"/>
          <w:szCs w:val="20"/>
        </w:rPr>
      </w:pPr>
      <w:r>
        <w:rPr>
          <w:rFonts w:asciiTheme="majorHAnsi" w:hAnsiTheme="majorHAnsi" w:cs="Arial"/>
          <w:sz w:val="22"/>
          <w:szCs w:val="20"/>
        </w:rPr>
        <w:t xml:space="preserve">In zahlreichen Kommunikationssituationen spielen Feedback- oder Rückmeldeprozesse eine große Rolle. Wie das Zuhören, das zugleich eine Voraussetzung von Feedback ist, gehört es zu den wichtigsten Elementen gelungener Kommunikation.  </w:t>
      </w:r>
      <w:r w:rsidRPr="00090D74">
        <w:rPr>
          <w:rFonts w:asciiTheme="majorHAnsi" w:hAnsiTheme="majorHAnsi" w:cs="Arial"/>
          <w:sz w:val="22"/>
          <w:szCs w:val="20"/>
        </w:rPr>
        <w:t>Feedback besteht aus zwei Komponenten: dem Feedback-Geben und dem Feedback-Nehmen. Feedback ist dabei stets ein Angebot an einen anderen, mehr über sich zu erfahren. Daher bleibt es auch demjenigen überlassen, der das Feedback empfängt, ob er das Angebot annimmt oder nicht.</w:t>
      </w:r>
    </w:p>
    <w:p w14:paraId="4D68851E" w14:textId="4A537120" w:rsidR="00F36AC2" w:rsidRPr="00F36AC2" w:rsidRDefault="00C21419" w:rsidP="00F36AC2">
      <w:pPr>
        <w:spacing w:before="450" w:after="100" w:afterAutospacing="1"/>
        <w:rPr>
          <w:rFonts w:ascii="Arial" w:hAnsi="Arial" w:cs="Arial"/>
          <w:sz w:val="20"/>
          <w:szCs w:val="20"/>
        </w:rPr>
      </w:pPr>
      <w:r>
        <w:rPr>
          <w:rFonts w:cs="Arial"/>
          <w:noProof/>
          <w:sz w:val="20"/>
          <w:szCs w:val="20"/>
        </w:rPr>
        <w:drawing>
          <wp:anchor distT="0" distB="0" distL="114300" distR="114300" simplePos="0" relativeHeight="251662336" behindDoc="1" locked="0" layoutInCell="1" allowOverlap="1" wp14:anchorId="42B54E41" wp14:editId="0AD319CA">
            <wp:simplePos x="0" y="0"/>
            <wp:positionH relativeFrom="column">
              <wp:posOffset>3155039</wp:posOffset>
            </wp:positionH>
            <wp:positionV relativeFrom="paragraph">
              <wp:posOffset>384340</wp:posOffset>
            </wp:positionV>
            <wp:extent cx="2456815" cy="1621790"/>
            <wp:effectExtent l="0" t="0" r="635" b="0"/>
            <wp:wrapTight wrapText="bothSides">
              <wp:wrapPolygon edited="0">
                <wp:start x="0" y="0"/>
                <wp:lineTo x="0" y="21312"/>
                <wp:lineTo x="21438" y="21312"/>
                <wp:lineTo x="21438" y="0"/>
                <wp:lineTo x="0" y="0"/>
              </wp:wrapPolygon>
            </wp:wrapTight>
            <wp:docPr id="4" name="Grafik 4" descr="C:\teachsam\psy\psy_kom\mmf\images\ich_hatte_das_gefue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achsam\psy\psy_kom\mmf\images\ich_hatte_das_gefueh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1621790"/>
                    </a:xfrm>
                    <a:prstGeom prst="rect">
                      <a:avLst/>
                    </a:prstGeom>
                    <a:noFill/>
                    <a:ln>
                      <a:noFill/>
                    </a:ln>
                  </pic:spPr>
                </pic:pic>
              </a:graphicData>
            </a:graphic>
          </wp:anchor>
        </w:drawing>
      </w:r>
      <w:r w:rsidR="00090D74">
        <w:rPr>
          <w:rFonts w:ascii="Arial" w:hAnsi="Arial" w:cs="Arial"/>
          <w:b/>
          <w:bCs/>
          <w:sz w:val="20"/>
          <w:szCs w:val="20"/>
        </w:rPr>
        <w:t>Die zehn wichtigsten Regeln für Feedback-Geber</w:t>
      </w:r>
    </w:p>
    <w:p w14:paraId="0540F6BB" w14:textId="77777777"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Geben Sie nur dann Feedback, wenn dies auch gewünscht wird.</w:t>
      </w:r>
    </w:p>
    <w:p w14:paraId="28460547" w14:textId="77777777"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Verwenden Sie Ich-Botschaften, um auszudrücken, was Sie gefühlt und wahrgenommen haben.</w:t>
      </w:r>
    </w:p>
    <w:p w14:paraId="2145481E" w14:textId="77777777"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Seien Sie bei Ihren Äußerungen ehrlich und im positiven Sinne persönlich.</w:t>
      </w:r>
    </w:p>
    <w:p w14:paraId="79EC59C6" w14:textId="77777777"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Begegnen Sie dem Feedback-Nehmer taktvoll und mit Respekt.</w:t>
      </w:r>
    </w:p>
    <w:p w14:paraId="7B3CE794" w14:textId="77777777"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Geben Sie Ihr Feedback rechtzeitig.</w:t>
      </w:r>
    </w:p>
    <w:p w14:paraId="6A8D1345" w14:textId="77777777"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Gehen Sie bei Ihrem Feedback davon aus, dass auch Sie sich irren können, und formulieren Sie Ihre Aussagen entsprechend reversibel.</w:t>
      </w:r>
    </w:p>
    <w:p w14:paraId="662FAFC5" w14:textId="1B135091"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Bleiben Sie stets konstruktiv, setzen Sie an den Stärken an und streben sie danach mit Ihren Mitteilungen aufbauend zu wirken.</w:t>
      </w:r>
    </w:p>
    <w:p w14:paraId="4E7712EC" w14:textId="77777777"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Beschreiben Sie Ihre subjektiven Gefühle, Vermutungen und Wahrnehmungen, ohne zu werten.</w:t>
      </w:r>
    </w:p>
    <w:p w14:paraId="491DD953" w14:textId="77777777" w:rsidR="00090D74" w:rsidRPr="00C21419"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Seien Sie bei Ihren Beschreibungen genau und konkret und achten Sie darauf, dass das, was sie mitteilen, sachlich richtig und angemessen ist.</w:t>
      </w:r>
    </w:p>
    <w:p w14:paraId="27459C49" w14:textId="1EE21C37" w:rsidR="00910DD3" w:rsidRDefault="00090D74" w:rsidP="00C21419">
      <w:pPr>
        <w:pStyle w:val="Listenabsatz"/>
        <w:numPr>
          <w:ilvl w:val="0"/>
          <w:numId w:val="22"/>
        </w:numPr>
        <w:spacing w:before="60" w:after="60"/>
        <w:ind w:left="714" w:hanging="357"/>
        <w:contextualSpacing w:val="0"/>
        <w:rPr>
          <w:rFonts w:asciiTheme="majorHAnsi" w:hAnsiTheme="majorHAnsi" w:cs="Arial"/>
          <w:sz w:val="22"/>
          <w:szCs w:val="20"/>
        </w:rPr>
      </w:pPr>
      <w:r w:rsidRPr="00C21419">
        <w:rPr>
          <w:rFonts w:asciiTheme="majorHAnsi" w:hAnsiTheme="majorHAnsi" w:cs="Arial"/>
          <w:sz w:val="22"/>
          <w:szCs w:val="20"/>
        </w:rPr>
        <w:t>Sprechen Sie nicht zu viel auf einmal an, achten Sie auf Neues und weisen sie auf das hin, was wirklich änderbar und damit für den Feedback-Nehmer brauchbar ist.</w:t>
      </w:r>
    </w:p>
    <w:p w14:paraId="63611AC2" w14:textId="26E0D782" w:rsidR="00C21419" w:rsidRDefault="00C21419" w:rsidP="00C21419">
      <w:pPr>
        <w:spacing w:before="60" w:after="60"/>
        <w:rPr>
          <w:rFonts w:asciiTheme="majorHAnsi" w:hAnsiTheme="majorHAnsi" w:cs="Arial"/>
          <w:sz w:val="22"/>
          <w:szCs w:val="20"/>
        </w:rPr>
      </w:pPr>
    </w:p>
    <w:p w14:paraId="7603E1E6" w14:textId="7F84E5DE" w:rsidR="00C21419" w:rsidRDefault="00C21419" w:rsidP="00C21419">
      <w:pPr>
        <w:spacing w:before="180" w:after="100" w:afterAutospacing="1"/>
        <w:jc w:val="both"/>
        <w:rPr>
          <w:rFonts w:asciiTheme="majorHAnsi" w:hAnsiTheme="majorHAnsi" w:cs="Arial"/>
          <w:b/>
          <w:sz w:val="22"/>
          <w:szCs w:val="20"/>
        </w:rPr>
      </w:pPr>
      <w:r>
        <w:rPr>
          <w:rFonts w:asciiTheme="majorHAnsi" w:hAnsiTheme="majorHAnsi" w:cs="Arial"/>
          <w:b/>
          <w:sz w:val="22"/>
          <w:szCs w:val="20"/>
        </w:rPr>
        <w:lastRenderedPageBreak/>
        <w:t xml:space="preserve">Feedback – ein Angebot </w:t>
      </w:r>
      <w:r>
        <w:rPr>
          <w:rFonts w:asciiTheme="majorHAnsi" w:hAnsiTheme="majorHAnsi" w:cs="Arial"/>
          <w:b/>
          <w:sz w:val="22"/>
          <w:szCs w:val="20"/>
        </w:rPr>
        <w:t>eines</w:t>
      </w:r>
      <w:r>
        <w:rPr>
          <w:rFonts w:asciiTheme="majorHAnsi" w:hAnsiTheme="majorHAnsi" w:cs="Arial"/>
          <w:b/>
          <w:sz w:val="22"/>
          <w:szCs w:val="20"/>
        </w:rPr>
        <w:t xml:space="preserve"> anderen, mehr über sich </w:t>
      </w:r>
      <w:r>
        <w:rPr>
          <w:rFonts w:asciiTheme="majorHAnsi" w:hAnsiTheme="majorHAnsi" w:cs="Arial"/>
          <w:b/>
          <w:sz w:val="22"/>
          <w:szCs w:val="20"/>
        </w:rPr>
        <w:t xml:space="preserve">selbst </w:t>
      </w:r>
      <w:r>
        <w:rPr>
          <w:rFonts w:asciiTheme="majorHAnsi" w:hAnsiTheme="majorHAnsi" w:cs="Arial"/>
          <w:b/>
          <w:sz w:val="22"/>
          <w:szCs w:val="20"/>
        </w:rPr>
        <w:t>zu erfahren</w:t>
      </w:r>
    </w:p>
    <w:p w14:paraId="1AB85BD6" w14:textId="1691A541" w:rsidR="00C21419" w:rsidRDefault="00C21419" w:rsidP="00C21419">
      <w:pPr>
        <w:spacing w:before="100" w:beforeAutospacing="1" w:after="100" w:afterAutospacing="1"/>
        <w:jc w:val="both"/>
        <w:rPr>
          <w:rFonts w:asciiTheme="majorHAnsi" w:hAnsiTheme="majorHAnsi" w:cs="Arial"/>
          <w:sz w:val="22"/>
          <w:szCs w:val="20"/>
        </w:rPr>
      </w:pPr>
      <w:r>
        <w:rPr>
          <w:rFonts w:asciiTheme="majorHAnsi" w:hAnsiTheme="majorHAnsi" w:cs="Arial"/>
          <w:sz w:val="22"/>
          <w:szCs w:val="20"/>
        </w:rPr>
        <w:t xml:space="preserve">In zahlreichen Kommunikationssituationen spielen Feedback- oder Rückmeldeprozesse eine große Rolle. Wie das Zuhören, das zugleich eine Voraussetzung von Feedback ist, gehört es zu den wichtigsten Elementen gelungener Kommunikation.  </w:t>
      </w:r>
      <w:r w:rsidRPr="00090D74">
        <w:rPr>
          <w:rFonts w:asciiTheme="majorHAnsi" w:hAnsiTheme="majorHAnsi" w:cs="Arial"/>
          <w:sz w:val="22"/>
          <w:szCs w:val="20"/>
        </w:rPr>
        <w:t>Feedback besteht aus zwei Komponenten: dem Feedback-Geben und dem Feedback-Nehmen. Feedback</w:t>
      </w:r>
      <w:r>
        <w:rPr>
          <w:rFonts w:asciiTheme="majorHAnsi" w:hAnsiTheme="majorHAnsi" w:cs="Arial"/>
          <w:sz w:val="22"/>
          <w:szCs w:val="20"/>
        </w:rPr>
        <w:t>-Nehmen</w:t>
      </w:r>
      <w:r w:rsidRPr="00090D74">
        <w:rPr>
          <w:rFonts w:asciiTheme="majorHAnsi" w:hAnsiTheme="majorHAnsi" w:cs="Arial"/>
          <w:sz w:val="22"/>
          <w:szCs w:val="20"/>
        </w:rPr>
        <w:t xml:space="preserve"> ist dabei stets ein Angebot </w:t>
      </w:r>
      <w:r>
        <w:rPr>
          <w:rFonts w:asciiTheme="majorHAnsi" w:hAnsiTheme="majorHAnsi" w:cs="Arial"/>
          <w:sz w:val="22"/>
          <w:szCs w:val="20"/>
        </w:rPr>
        <w:t>eines</w:t>
      </w:r>
      <w:r w:rsidRPr="00090D74">
        <w:rPr>
          <w:rFonts w:asciiTheme="majorHAnsi" w:hAnsiTheme="majorHAnsi" w:cs="Arial"/>
          <w:sz w:val="22"/>
          <w:szCs w:val="20"/>
        </w:rPr>
        <w:t xml:space="preserve"> anderen, mehr über sich </w:t>
      </w:r>
      <w:r>
        <w:rPr>
          <w:rFonts w:asciiTheme="majorHAnsi" w:hAnsiTheme="majorHAnsi" w:cs="Arial"/>
          <w:sz w:val="22"/>
          <w:szCs w:val="20"/>
        </w:rPr>
        <w:t xml:space="preserve">selbst </w:t>
      </w:r>
      <w:r w:rsidRPr="00090D74">
        <w:rPr>
          <w:rFonts w:asciiTheme="majorHAnsi" w:hAnsiTheme="majorHAnsi" w:cs="Arial"/>
          <w:sz w:val="22"/>
          <w:szCs w:val="20"/>
        </w:rPr>
        <w:t>zu erfahren. Daher bleibt es auch demjenigen überlassen, der das Feedback empfängt, ob er das Angebot annimmt oder nicht.</w:t>
      </w:r>
      <w:bookmarkStart w:id="0" w:name="_GoBack"/>
      <w:bookmarkEnd w:id="0"/>
    </w:p>
    <w:p w14:paraId="0C9E3C91" w14:textId="123114EB" w:rsidR="00C21419" w:rsidRPr="00F36AC2" w:rsidRDefault="00C21419" w:rsidP="00C21419">
      <w:pPr>
        <w:spacing w:before="450" w:after="100" w:afterAutospacing="1"/>
        <w:rPr>
          <w:rFonts w:ascii="Arial" w:hAnsi="Arial" w:cs="Arial"/>
          <w:sz w:val="20"/>
          <w:szCs w:val="20"/>
        </w:rPr>
      </w:pPr>
      <w:r>
        <w:rPr>
          <w:rFonts w:ascii="Arial" w:hAnsi="Arial" w:cs="Arial"/>
          <w:b/>
          <w:bCs/>
          <w:sz w:val="20"/>
          <w:szCs w:val="20"/>
        </w:rPr>
        <w:t>Die zehn wichtigsten Regeln für Feedback-</w:t>
      </w:r>
      <w:r>
        <w:rPr>
          <w:rFonts w:ascii="Arial" w:hAnsi="Arial" w:cs="Arial"/>
          <w:b/>
          <w:bCs/>
          <w:sz w:val="20"/>
          <w:szCs w:val="20"/>
        </w:rPr>
        <w:t>Nehmer</w:t>
      </w:r>
    </w:p>
    <w:p w14:paraId="68AADD9D" w14:textId="7FFC446C"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drawing>
          <wp:anchor distT="0" distB="0" distL="114300" distR="114300" simplePos="0" relativeHeight="251663360" behindDoc="0" locked="0" layoutInCell="1" allowOverlap="1" wp14:anchorId="18BD155A" wp14:editId="3F7FE5AB">
            <wp:simplePos x="0" y="0"/>
            <wp:positionH relativeFrom="column">
              <wp:posOffset>3147060</wp:posOffset>
            </wp:positionH>
            <wp:positionV relativeFrom="paragraph">
              <wp:posOffset>140335</wp:posOffset>
            </wp:positionV>
            <wp:extent cx="2536190" cy="2146300"/>
            <wp:effectExtent l="0" t="0" r="0" b="6350"/>
            <wp:wrapSquare wrapText="bothSides"/>
            <wp:docPr id="8" name="Grafik 8" descr="C:\teachsam\psy\psy_kom\mmf\images\du_hast_gesa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achsam\psy\psy_kom\mmf\images\du_hast_gesagt.png"/>
                    <pic:cNvPicPr>
                      <a:picLocks noChangeAspect="1" noChangeArrowheads="1"/>
                    </pic:cNvPicPr>
                  </pic:nvPicPr>
                  <pic:blipFill rotWithShape="1">
                    <a:blip r:embed="rId8">
                      <a:extLst>
                        <a:ext uri="{28A0092B-C50C-407E-A947-70E740481C1C}">
                          <a14:useLocalDpi xmlns:a14="http://schemas.microsoft.com/office/drawing/2010/main" val="0"/>
                        </a:ext>
                      </a:extLst>
                    </a:blip>
                    <a:srcRect b="7221"/>
                    <a:stretch/>
                  </pic:blipFill>
                  <pic:spPr bwMode="auto">
                    <a:xfrm>
                      <a:off x="0" y="0"/>
                      <a:ext cx="2536190" cy="2146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21419">
        <w:rPr>
          <w:rFonts w:asciiTheme="majorHAnsi" w:hAnsiTheme="majorHAnsi" w:cs="Arial"/>
          <w:sz w:val="22"/>
          <w:szCs w:val="20"/>
        </w:rPr>
        <w:t>Geben Sie eindeutig zu verstehen, ob und wann Sie Feedback wünschen.</w:t>
      </w:r>
    </w:p>
    <w:p w14:paraId="7E04AFF1" w14:textId="77777777"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Vermeiden Sie jede innere und äußerliche Verteidigungshaltung.</w:t>
      </w:r>
    </w:p>
    <w:p w14:paraId="14DE9D93" w14:textId="77777777"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Begegnen Sie dem Feedback-Geber auch körpersprachlich respektvoll und wenden Sie sich ihm zu.</w:t>
      </w:r>
    </w:p>
    <w:p w14:paraId="3B4FCEF8" w14:textId="77777777"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Hören Sie genau und konzentriert so lange zu, bis der Feedback-Geber seine Mitteilungen beendet hat.</w:t>
      </w:r>
    </w:p>
    <w:p w14:paraId="7FC3CD44" w14:textId="77777777"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Unterbrechen Sie den Feedback-Geber nicht und verzichten Sie auf spontane Rechtfertigungen und Erklärungen.</w:t>
      </w:r>
    </w:p>
    <w:p w14:paraId="36553514" w14:textId="52B03ACD"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 xml:space="preserve">Bei Unklarheiten dürfen Sie sich beim Feedback-Geber vergewissern, ob Sie ihn auch richtig verstanden haben. Verwenden Sie dabei Ich-Botschaften und geben Sie mit ihren eigenen Worten wieder, wie Sie das Mitgeteilte verstanden haben. (vgl. umschreibendes Zuhören) </w:t>
      </w:r>
    </w:p>
    <w:p w14:paraId="7DE222DE" w14:textId="77777777"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Fragen Sie nach, wenn Sie etwas nicht verstanden haben, oder bitten Sie gegebenenfalls um eine Konkretisierung der Mitteilung. Vermeiden Sie dabei allerdings ein Ausfragen des Feedback-Gebers.</w:t>
      </w:r>
    </w:p>
    <w:p w14:paraId="6760A059" w14:textId="77777777"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 xml:space="preserve">Teilen Sie dem Feedback-Geber mit, ob das, was Sie zu hören bekommen haben, für sie hilfreich gewesen ist, ob sie das Mitgeteilte also für konstruktiv und aufbauend halten. </w:t>
      </w:r>
    </w:p>
    <w:p w14:paraId="00F4605C" w14:textId="77777777"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Melden Sie dem Feedback-Geber zurück, ob das Mitgeteilte nicht zu viel auf einmal gewesen ist, ob es auf Neues hingewiesen hat oder nicht und ob das Feedback somit für Sie grundsätzlich brauchbar ist.</w:t>
      </w:r>
    </w:p>
    <w:p w14:paraId="17D62035" w14:textId="3A215DB9" w:rsidR="00C21419" w:rsidRPr="00C21419" w:rsidRDefault="00C21419" w:rsidP="00C21419">
      <w:pPr>
        <w:pStyle w:val="Listenabsatz"/>
        <w:numPr>
          <w:ilvl w:val="0"/>
          <w:numId w:val="24"/>
        </w:numPr>
        <w:spacing w:before="60" w:after="60"/>
        <w:contextualSpacing w:val="0"/>
        <w:rPr>
          <w:rFonts w:asciiTheme="majorHAnsi" w:hAnsiTheme="majorHAnsi" w:cs="Arial"/>
          <w:sz w:val="22"/>
          <w:szCs w:val="20"/>
        </w:rPr>
      </w:pPr>
      <w:r w:rsidRPr="00C21419">
        <w:rPr>
          <w:rFonts w:asciiTheme="majorHAnsi" w:hAnsiTheme="majorHAnsi" w:cs="Arial"/>
          <w:sz w:val="22"/>
          <w:szCs w:val="20"/>
        </w:rPr>
        <w:t>Überlegen Sie nach dem Feedback in Ruhe, ob und was Sie aus den Mitteilungen machen wollen. Überprüfen Sie das, was Sie im Rahmen des Feedback erfahren haben, in Ruhe und mit der Bereitschaft zu angemessener Selbstkritik, und entscheiden Sie dann, ob Sie Anregungen aus dem Feedback umsetzen wollen.</w:t>
      </w:r>
    </w:p>
    <w:sectPr w:rsidR="00C21419" w:rsidRPr="00C21419" w:rsidSect="00475684">
      <w:headerReference w:type="default" r:id="rId9"/>
      <w:footerReference w:type="even"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F2AB" w14:textId="77777777" w:rsidR="002B0A7A" w:rsidRDefault="002B0A7A">
      <w:pPr>
        <w:spacing w:after="0"/>
      </w:pPr>
      <w:r>
        <w:separator/>
      </w:r>
    </w:p>
  </w:endnote>
  <w:endnote w:type="continuationSeparator" w:id="0">
    <w:p w14:paraId="73B5B36E" w14:textId="77777777" w:rsidR="002B0A7A" w:rsidRDefault="002B0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ova">
    <w:altName w:val="Arial Nova"/>
    <w:charset w:val="00"/>
    <w:family w:val="swiss"/>
    <w:pitch w:val="variable"/>
    <w:sig w:usb0="0000028F" w:usb1="00000002"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589" w14:textId="77777777"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end"/>
    </w:r>
  </w:p>
  <w:p w14:paraId="411EC143" w14:textId="77777777" w:rsidR="002B0A7A" w:rsidRDefault="002B0A7A" w:rsidP="00EE0C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1354" w14:textId="77777777" w:rsidR="002B0A7A" w:rsidRPr="007C6B1B" w:rsidRDefault="007C6B1B" w:rsidP="007C6B1B">
    <w:pPr>
      <w:pStyle w:val="Fuzeile"/>
      <w:pBdr>
        <w:top w:val="single" w:sz="4" w:space="12" w:color="auto"/>
      </w:pBdr>
      <w:ind w:right="357"/>
      <w:rPr>
        <w:rFonts w:ascii="Calibri" w:hAnsi="Calibri"/>
        <w:sz w:val="18"/>
        <w:szCs w:val="18"/>
      </w:rPr>
    </w:pPr>
    <w:r>
      <w:rPr>
        <w:noProof/>
      </w:rPr>
      <w:drawing>
        <wp:anchor distT="0" distB="0" distL="114300" distR="114300" simplePos="0" relativeHeight="251659264" behindDoc="0" locked="0" layoutInCell="1" allowOverlap="1" wp14:anchorId="326A1F97" wp14:editId="2C4AA02D">
          <wp:simplePos x="0" y="0"/>
          <wp:positionH relativeFrom="column">
            <wp:posOffset>4904105</wp:posOffset>
          </wp:positionH>
          <wp:positionV relativeFrom="paragraph">
            <wp:posOffset>62230</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sidRPr="002012C4">
      <w:rPr>
        <w:rFonts w:ascii="Calibri" w:hAnsi="Calibri" w:cs="Arial"/>
        <w:sz w:val="18"/>
        <w:szCs w:val="18"/>
      </w:rPr>
      <w:br/>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 xml:space="preserve">, 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D635" w14:textId="77777777" w:rsidR="002B0A7A" w:rsidRDefault="002B0A7A">
      <w:pPr>
        <w:spacing w:after="0"/>
      </w:pPr>
      <w:r>
        <w:separator/>
      </w:r>
    </w:p>
  </w:footnote>
  <w:footnote w:type="continuationSeparator" w:id="0">
    <w:p w14:paraId="0EC5F26D" w14:textId="77777777" w:rsidR="002B0A7A" w:rsidRDefault="002B0A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6862" w14:textId="77777777" w:rsidR="007C6B1B" w:rsidRPr="00E801BC" w:rsidRDefault="007C6B1B" w:rsidP="007F6E57">
    <w:pPr>
      <w:pStyle w:val="Kopfzeile"/>
      <w:tabs>
        <w:tab w:val="center" w:pos="5245"/>
        <w:tab w:val="left" w:pos="7230"/>
      </w:tabs>
      <w:ind w:firstLine="708"/>
      <w:jc w:val="center"/>
      <w:rPr>
        <w:rFonts w:asciiTheme="majorHAnsi" w:hAnsiTheme="majorHAnsi"/>
      </w:rPr>
    </w:pPr>
    <w:r>
      <w:rPr>
        <w:noProof/>
      </w:rPr>
      <w:drawing>
        <wp:anchor distT="0" distB="0" distL="114300" distR="114300" simplePos="0" relativeHeight="251661312" behindDoc="0" locked="0" layoutInCell="1" allowOverlap="1" wp14:anchorId="0897FB1D" wp14:editId="498946B3">
          <wp:simplePos x="0" y="0"/>
          <wp:positionH relativeFrom="column">
            <wp:posOffset>4948555</wp:posOffset>
          </wp:positionH>
          <wp:positionV relativeFrom="paragraph">
            <wp:posOffset>-136525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57">
      <w:rPr>
        <w:rFonts w:ascii="Cambria" w:hAnsi="Cambria"/>
      </w:rPr>
      <w:t xml:space="preserve">   </w:t>
    </w:r>
    <w:r w:rsidRPr="00264A00">
      <w:rPr>
        <w:rFonts w:ascii="Cambria" w:hAnsi="Cambria"/>
      </w:rPr>
      <w:tab/>
    </w:r>
    <w:r>
      <w:rPr>
        <w:rFonts w:ascii="Cambria" w:hAnsi="Cambria"/>
      </w:rPr>
      <w:tab/>
    </w:r>
    <w:r w:rsidR="007F6E57" w:rsidRPr="00E801BC">
      <w:rPr>
        <w:rFonts w:asciiTheme="majorHAnsi" w:hAnsiTheme="majorHAnsi"/>
        <w:sz w:val="22"/>
      </w:rPr>
      <w:t xml:space="preserve">                    </w:t>
    </w:r>
    <w:r w:rsidRPr="00E801BC">
      <w:rPr>
        <w:rFonts w:asciiTheme="majorHAnsi" w:hAnsiTheme="majorHAnsi"/>
        <w:sz w:val="22"/>
      </w:rPr>
      <w:t>teachSamOER 201</w:t>
    </w:r>
    <w:r w:rsidR="007F6E57" w:rsidRPr="00E801BC">
      <w:rPr>
        <w:rFonts w:asciiTheme="majorHAnsi" w:hAnsiTheme="majorHAnsi"/>
        <w:sz w:val="22"/>
      </w:rPr>
      <w:t>8</w:t>
    </w:r>
  </w:p>
  <w:p w14:paraId="783759C1" w14:textId="77777777" w:rsidR="002B0A7A" w:rsidRPr="00153F76" w:rsidRDefault="002B0A7A" w:rsidP="007C6B1B">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F0571"/>
    <w:multiLevelType w:val="multilevel"/>
    <w:tmpl w:val="F7B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269C7"/>
    <w:multiLevelType w:val="multilevel"/>
    <w:tmpl w:val="AA0CF98C"/>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3"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5D78F2"/>
    <w:multiLevelType w:val="hybridMultilevel"/>
    <w:tmpl w:val="6B66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E41A10"/>
    <w:multiLevelType w:val="hybridMultilevel"/>
    <w:tmpl w:val="40D46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BF6AC9"/>
    <w:multiLevelType w:val="hybridMultilevel"/>
    <w:tmpl w:val="26B43DD4"/>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8777BF"/>
    <w:multiLevelType w:val="multilevel"/>
    <w:tmpl w:val="6978B6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3995BA3"/>
    <w:multiLevelType w:val="hybridMultilevel"/>
    <w:tmpl w:val="8B2CBFA6"/>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336448"/>
    <w:multiLevelType w:val="hybridMultilevel"/>
    <w:tmpl w:val="F132B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051DA8"/>
    <w:multiLevelType w:val="hybridMultilevel"/>
    <w:tmpl w:val="FD484AD2"/>
    <w:lvl w:ilvl="0" w:tplc="1A3A74E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724229"/>
    <w:multiLevelType w:val="hybridMultilevel"/>
    <w:tmpl w:val="E7703A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01752A"/>
    <w:multiLevelType w:val="hybridMultilevel"/>
    <w:tmpl w:val="CE4A7A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6403AD"/>
    <w:multiLevelType w:val="hybridMultilevel"/>
    <w:tmpl w:val="45789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8F69D0"/>
    <w:multiLevelType w:val="hybridMultilevel"/>
    <w:tmpl w:val="2E6A14DE"/>
    <w:lvl w:ilvl="0" w:tplc="9E803E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CC4012"/>
    <w:multiLevelType w:val="hybridMultilevel"/>
    <w:tmpl w:val="6442C9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88707D"/>
    <w:multiLevelType w:val="hybridMultilevel"/>
    <w:tmpl w:val="C7BE7938"/>
    <w:lvl w:ilvl="0" w:tplc="3B06B3D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415693"/>
    <w:multiLevelType w:val="hybridMultilevel"/>
    <w:tmpl w:val="45789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904985"/>
    <w:multiLevelType w:val="hybridMultilevel"/>
    <w:tmpl w:val="5372B124"/>
    <w:lvl w:ilvl="0" w:tplc="04070011">
      <w:start w:val="1"/>
      <w:numFmt w:val="decimal"/>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6C152CE5"/>
    <w:multiLevelType w:val="hybridMultilevel"/>
    <w:tmpl w:val="07E895F6"/>
    <w:lvl w:ilvl="0" w:tplc="D392239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F568D9"/>
    <w:multiLevelType w:val="hybridMultilevel"/>
    <w:tmpl w:val="315C26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3"/>
  </w:num>
  <w:num w:numId="3">
    <w:abstractNumId w:val="4"/>
  </w:num>
  <w:num w:numId="4">
    <w:abstractNumId w:val="0"/>
  </w:num>
  <w:num w:numId="5">
    <w:abstractNumId w:val="3"/>
  </w:num>
  <w:num w:numId="6">
    <w:abstractNumId w:val="20"/>
  </w:num>
  <w:num w:numId="7">
    <w:abstractNumId w:val="6"/>
  </w:num>
  <w:num w:numId="8">
    <w:abstractNumId w:val="12"/>
  </w:num>
  <w:num w:numId="9">
    <w:abstractNumId w:val="15"/>
  </w:num>
  <w:num w:numId="10">
    <w:abstractNumId w:val="13"/>
  </w:num>
  <w:num w:numId="11">
    <w:abstractNumId w:val="11"/>
  </w:num>
  <w:num w:numId="12">
    <w:abstractNumId w:val="21"/>
  </w:num>
  <w:num w:numId="13">
    <w:abstractNumId w:val="7"/>
  </w:num>
  <w:num w:numId="14">
    <w:abstractNumId w:val="22"/>
  </w:num>
  <w:num w:numId="15">
    <w:abstractNumId w:val="9"/>
  </w:num>
  <w:num w:numId="16">
    <w:abstractNumId w:val="18"/>
  </w:num>
  <w:num w:numId="17">
    <w:abstractNumId w:val="5"/>
  </w:num>
  <w:num w:numId="18">
    <w:abstractNumId w:val="10"/>
  </w:num>
  <w:num w:numId="19">
    <w:abstractNumId w:val="2"/>
  </w:num>
  <w:num w:numId="20">
    <w:abstractNumId w:val="8"/>
  </w:num>
  <w:num w:numId="21">
    <w:abstractNumId w:val="1"/>
  </w:num>
  <w:num w:numId="22">
    <w:abstractNumId w:val="14"/>
  </w:num>
  <w:num w:numId="23">
    <w:abstractNumId w:val="17"/>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8"/>
    <w:rsid w:val="00004152"/>
    <w:rsid w:val="00007E6A"/>
    <w:rsid w:val="000106C1"/>
    <w:rsid w:val="00014648"/>
    <w:rsid w:val="000174B5"/>
    <w:rsid w:val="000175CE"/>
    <w:rsid w:val="00022034"/>
    <w:rsid w:val="000245AB"/>
    <w:rsid w:val="00027584"/>
    <w:rsid w:val="00030AD1"/>
    <w:rsid w:val="00047B61"/>
    <w:rsid w:val="00052F28"/>
    <w:rsid w:val="00062EF6"/>
    <w:rsid w:val="000632F7"/>
    <w:rsid w:val="0006794F"/>
    <w:rsid w:val="000748F4"/>
    <w:rsid w:val="00077454"/>
    <w:rsid w:val="000845D5"/>
    <w:rsid w:val="000901F3"/>
    <w:rsid w:val="00090D74"/>
    <w:rsid w:val="00096918"/>
    <w:rsid w:val="000A0489"/>
    <w:rsid w:val="000B3F84"/>
    <w:rsid w:val="000C1D38"/>
    <w:rsid w:val="000C392D"/>
    <w:rsid w:val="000C4914"/>
    <w:rsid w:val="000C500B"/>
    <w:rsid w:val="000C65AD"/>
    <w:rsid w:val="000D4120"/>
    <w:rsid w:val="000D5806"/>
    <w:rsid w:val="000E3BBA"/>
    <w:rsid w:val="000F554D"/>
    <w:rsid w:val="000F7CED"/>
    <w:rsid w:val="00101188"/>
    <w:rsid w:val="00102062"/>
    <w:rsid w:val="00103C5A"/>
    <w:rsid w:val="001054AC"/>
    <w:rsid w:val="00112D90"/>
    <w:rsid w:val="001235EF"/>
    <w:rsid w:val="00126565"/>
    <w:rsid w:val="00133297"/>
    <w:rsid w:val="00134F34"/>
    <w:rsid w:val="00153F76"/>
    <w:rsid w:val="00155AB6"/>
    <w:rsid w:val="00161387"/>
    <w:rsid w:val="00165224"/>
    <w:rsid w:val="001700A1"/>
    <w:rsid w:val="001736EE"/>
    <w:rsid w:val="0017396C"/>
    <w:rsid w:val="001836BB"/>
    <w:rsid w:val="0018558E"/>
    <w:rsid w:val="00186387"/>
    <w:rsid w:val="00187067"/>
    <w:rsid w:val="001B1412"/>
    <w:rsid w:val="001B31FB"/>
    <w:rsid w:val="001B36E3"/>
    <w:rsid w:val="001B7DFE"/>
    <w:rsid w:val="001C0DB6"/>
    <w:rsid w:val="001C623A"/>
    <w:rsid w:val="001C7FCC"/>
    <w:rsid w:val="001E3019"/>
    <w:rsid w:val="001E4AF6"/>
    <w:rsid w:val="001E4FBF"/>
    <w:rsid w:val="001E5352"/>
    <w:rsid w:val="001F0B3B"/>
    <w:rsid w:val="00201DCE"/>
    <w:rsid w:val="00204301"/>
    <w:rsid w:val="002161A8"/>
    <w:rsid w:val="00227950"/>
    <w:rsid w:val="00236D96"/>
    <w:rsid w:val="002405B8"/>
    <w:rsid w:val="00265C20"/>
    <w:rsid w:val="00271CF2"/>
    <w:rsid w:val="00273282"/>
    <w:rsid w:val="0027518A"/>
    <w:rsid w:val="00291992"/>
    <w:rsid w:val="00297F2B"/>
    <w:rsid w:val="002A40B7"/>
    <w:rsid w:val="002B0A7A"/>
    <w:rsid w:val="002B1D16"/>
    <w:rsid w:val="002B4B6B"/>
    <w:rsid w:val="002C313B"/>
    <w:rsid w:val="002C55A6"/>
    <w:rsid w:val="002D692F"/>
    <w:rsid w:val="002F5E0B"/>
    <w:rsid w:val="00300AB1"/>
    <w:rsid w:val="00301D8B"/>
    <w:rsid w:val="003034A4"/>
    <w:rsid w:val="00313BCA"/>
    <w:rsid w:val="003144BE"/>
    <w:rsid w:val="0031518D"/>
    <w:rsid w:val="00325344"/>
    <w:rsid w:val="0033087F"/>
    <w:rsid w:val="00336F7B"/>
    <w:rsid w:val="00362E36"/>
    <w:rsid w:val="00363F17"/>
    <w:rsid w:val="00371BB5"/>
    <w:rsid w:val="00372BE7"/>
    <w:rsid w:val="00382124"/>
    <w:rsid w:val="00382D74"/>
    <w:rsid w:val="003A0FAF"/>
    <w:rsid w:val="003B08BE"/>
    <w:rsid w:val="003B6943"/>
    <w:rsid w:val="003C4A3C"/>
    <w:rsid w:val="003E2F40"/>
    <w:rsid w:val="003E5A7B"/>
    <w:rsid w:val="003F154B"/>
    <w:rsid w:val="003F1CDD"/>
    <w:rsid w:val="003F3EEB"/>
    <w:rsid w:val="00400E19"/>
    <w:rsid w:val="00405137"/>
    <w:rsid w:val="00410242"/>
    <w:rsid w:val="00410405"/>
    <w:rsid w:val="00423E07"/>
    <w:rsid w:val="00432EBF"/>
    <w:rsid w:val="004333F0"/>
    <w:rsid w:val="00435D17"/>
    <w:rsid w:val="00436E47"/>
    <w:rsid w:val="00464EF9"/>
    <w:rsid w:val="004678D2"/>
    <w:rsid w:val="00472808"/>
    <w:rsid w:val="00472CDE"/>
    <w:rsid w:val="00473795"/>
    <w:rsid w:val="004737D4"/>
    <w:rsid w:val="00475684"/>
    <w:rsid w:val="00476446"/>
    <w:rsid w:val="00484A36"/>
    <w:rsid w:val="0049118C"/>
    <w:rsid w:val="00493E5D"/>
    <w:rsid w:val="004964AB"/>
    <w:rsid w:val="004A2F2A"/>
    <w:rsid w:val="004A52BC"/>
    <w:rsid w:val="004C3F2A"/>
    <w:rsid w:val="004C48D6"/>
    <w:rsid w:val="004C5E3A"/>
    <w:rsid w:val="004F7F54"/>
    <w:rsid w:val="005034C8"/>
    <w:rsid w:val="00514875"/>
    <w:rsid w:val="005311FF"/>
    <w:rsid w:val="00537FBA"/>
    <w:rsid w:val="00547939"/>
    <w:rsid w:val="005507E6"/>
    <w:rsid w:val="005518E0"/>
    <w:rsid w:val="00561065"/>
    <w:rsid w:val="0056731E"/>
    <w:rsid w:val="00573285"/>
    <w:rsid w:val="005744AD"/>
    <w:rsid w:val="005751B0"/>
    <w:rsid w:val="00576CA1"/>
    <w:rsid w:val="00576FC8"/>
    <w:rsid w:val="00582956"/>
    <w:rsid w:val="00586BB8"/>
    <w:rsid w:val="00593B13"/>
    <w:rsid w:val="00594D8E"/>
    <w:rsid w:val="0059628A"/>
    <w:rsid w:val="005968B9"/>
    <w:rsid w:val="005B3B65"/>
    <w:rsid w:val="005C7102"/>
    <w:rsid w:val="005D7904"/>
    <w:rsid w:val="005E186E"/>
    <w:rsid w:val="005E3AD0"/>
    <w:rsid w:val="005F29F4"/>
    <w:rsid w:val="005F785C"/>
    <w:rsid w:val="00600B15"/>
    <w:rsid w:val="00602412"/>
    <w:rsid w:val="006033F0"/>
    <w:rsid w:val="00620A67"/>
    <w:rsid w:val="00626313"/>
    <w:rsid w:val="006335F7"/>
    <w:rsid w:val="006479A9"/>
    <w:rsid w:val="0065361C"/>
    <w:rsid w:val="006571EA"/>
    <w:rsid w:val="006800F0"/>
    <w:rsid w:val="00680384"/>
    <w:rsid w:val="0069506A"/>
    <w:rsid w:val="0069704E"/>
    <w:rsid w:val="006A1858"/>
    <w:rsid w:val="006B2CD0"/>
    <w:rsid w:val="006B3120"/>
    <w:rsid w:val="006B45EC"/>
    <w:rsid w:val="006B4F95"/>
    <w:rsid w:val="006B61AB"/>
    <w:rsid w:val="006C01BD"/>
    <w:rsid w:val="006D2ECE"/>
    <w:rsid w:val="006D3E8C"/>
    <w:rsid w:val="006D40EA"/>
    <w:rsid w:val="006E32B3"/>
    <w:rsid w:val="006E5759"/>
    <w:rsid w:val="006F1797"/>
    <w:rsid w:val="006F250A"/>
    <w:rsid w:val="00701AE1"/>
    <w:rsid w:val="00710965"/>
    <w:rsid w:val="007211BF"/>
    <w:rsid w:val="00724BB5"/>
    <w:rsid w:val="00725860"/>
    <w:rsid w:val="00725BDC"/>
    <w:rsid w:val="00731A6B"/>
    <w:rsid w:val="007354B6"/>
    <w:rsid w:val="00740602"/>
    <w:rsid w:val="007413E6"/>
    <w:rsid w:val="007502DA"/>
    <w:rsid w:val="007517DB"/>
    <w:rsid w:val="00762EB4"/>
    <w:rsid w:val="007701E2"/>
    <w:rsid w:val="00773C34"/>
    <w:rsid w:val="00774F2C"/>
    <w:rsid w:val="00775024"/>
    <w:rsid w:val="0077521D"/>
    <w:rsid w:val="0077641D"/>
    <w:rsid w:val="00785592"/>
    <w:rsid w:val="007926DE"/>
    <w:rsid w:val="007A124F"/>
    <w:rsid w:val="007A7B6D"/>
    <w:rsid w:val="007C1B44"/>
    <w:rsid w:val="007C21A1"/>
    <w:rsid w:val="007C6521"/>
    <w:rsid w:val="007C6B1B"/>
    <w:rsid w:val="007D5547"/>
    <w:rsid w:val="007D5957"/>
    <w:rsid w:val="007D6111"/>
    <w:rsid w:val="007D66EA"/>
    <w:rsid w:val="007D7A7E"/>
    <w:rsid w:val="007E0F86"/>
    <w:rsid w:val="007E107B"/>
    <w:rsid w:val="007E71E1"/>
    <w:rsid w:val="007F4C2E"/>
    <w:rsid w:val="007F6E57"/>
    <w:rsid w:val="00803FEA"/>
    <w:rsid w:val="00817EE8"/>
    <w:rsid w:val="00820292"/>
    <w:rsid w:val="00832458"/>
    <w:rsid w:val="0085145F"/>
    <w:rsid w:val="008670C0"/>
    <w:rsid w:val="00874F0A"/>
    <w:rsid w:val="008766F6"/>
    <w:rsid w:val="00885903"/>
    <w:rsid w:val="00896EFE"/>
    <w:rsid w:val="008A3A92"/>
    <w:rsid w:val="008A729C"/>
    <w:rsid w:val="008B4A94"/>
    <w:rsid w:val="008C5AC5"/>
    <w:rsid w:val="008D1A95"/>
    <w:rsid w:val="008D3AF8"/>
    <w:rsid w:val="008D4443"/>
    <w:rsid w:val="008E66D9"/>
    <w:rsid w:val="008E7416"/>
    <w:rsid w:val="008F047E"/>
    <w:rsid w:val="008F2F60"/>
    <w:rsid w:val="008F6417"/>
    <w:rsid w:val="00910DD3"/>
    <w:rsid w:val="00915466"/>
    <w:rsid w:val="0092502B"/>
    <w:rsid w:val="00927302"/>
    <w:rsid w:val="00927C7B"/>
    <w:rsid w:val="0093387F"/>
    <w:rsid w:val="00933BAC"/>
    <w:rsid w:val="009365A3"/>
    <w:rsid w:val="00945291"/>
    <w:rsid w:val="00947F08"/>
    <w:rsid w:val="00951849"/>
    <w:rsid w:val="00953380"/>
    <w:rsid w:val="009565DE"/>
    <w:rsid w:val="009642C1"/>
    <w:rsid w:val="00966AF6"/>
    <w:rsid w:val="00966B65"/>
    <w:rsid w:val="00967CDC"/>
    <w:rsid w:val="00986412"/>
    <w:rsid w:val="00994115"/>
    <w:rsid w:val="009A1759"/>
    <w:rsid w:val="009A4074"/>
    <w:rsid w:val="009A6AAD"/>
    <w:rsid w:val="009B2049"/>
    <w:rsid w:val="009B2752"/>
    <w:rsid w:val="009C2617"/>
    <w:rsid w:val="009D146A"/>
    <w:rsid w:val="009D4860"/>
    <w:rsid w:val="009D551E"/>
    <w:rsid w:val="009E1B6C"/>
    <w:rsid w:val="009E397E"/>
    <w:rsid w:val="009E6906"/>
    <w:rsid w:val="009F102C"/>
    <w:rsid w:val="00A079C1"/>
    <w:rsid w:val="00A1554F"/>
    <w:rsid w:val="00A22607"/>
    <w:rsid w:val="00A2417F"/>
    <w:rsid w:val="00A24AE0"/>
    <w:rsid w:val="00A26760"/>
    <w:rsid w:val="00A27F1D"/>
    <w:rsid w:val="00A34EA9"/>
    <w:rsid w:val="00A379EB"/>
    <w:rsid w:val="00A447D5"/>
    <w:rsid w:val="00A466FE"/>
    <w:rsid w:val="00A54603"/>
    <w:rsid w:val="00A55804"/>
    <w:rsid w:val="00A63575"/>
    <w:rsid w:val="00A67B9F"/>
    <w:rsid w:val="00A76A6A"/>
    <w:rsid w:val="00A84DE4"/>
    <w:rsid w:val="00A8643E"/>
    <w:rsid w:val="00A90836"/>
    <w:rsid w:val="00A97DC3"/>
    <w:rsid w:val="00AB54FD"/>
    <w:rsid w:val="00AC6B17"/>
    <w:rsid w:val="00AC6FA3"/>
    <w:rsid w:val="00AD50D4"/>
    <w:rsid w:val="00AE6083"/>
    <w:rsid w:val="00AE7608"/>
    <w:rsid w:val="00B01E30"/>
    <w:rsid w:val="00B07ABB"/>
    <w:rsid w:val="00B102EF"/>
    <w:rsid w:val="00B1048F"/>
    <w:rsid w:val="00B231C8"/>
    <w:rsid w:val="00B26DD4"/>
    <w:rsid w:val="00B3159D"/>
    <w:rsid w:val="00B44C6F"/>
    <w:rsid w:val="00B46582"/>
    <w:rsid w:val="00B51AE6"/>
    <w:rsid w:val="00B7113B"/>
    <w:rsid w:val="00B75BB9"/>
    <w:rsid w:val="00B968E8"/>
    <w:rsid w:val="00B97BC6"/>
    <w:rsid w:val="00BA4059"/>
    <w:rsid w:val="00BB44A4"/>
    <w:rsid w:val="00BC1CA4"/>
    <w:rsid w:val="00BD683A"/>
    <w:rsid w:val="00BD6945"/>
    <w:rsid w:val="00BF30C3"/>
    <w:rsid w:val="00BF486D"/>
    <w:rsid w:val="00BF7C92"/>
    <w:rsid w:val="00C135BD"/>
    <w:rsid w:val="00C21419"/>
    <w:rsid w:val="00C269EE"/>
    <w:rsid w:val="00C31EF2"/>
    <w:rsid w:val="00C425C0"/>
    <w:rsid w:val="00C45357"/>
    <w:rsid w:val="00C47073"/>
    <w:rsid w:val="00C477CE"/>
    <w:rsid w:val="00C51EBF"/>
    <w:rsid w:val="00C56E0E"/>
    <w:rsid w:val="00C66950"/>
    <w:rsid w:val="00C67662"/>
    <w:rsid w:val="00C73C45"/>
    <w:rsid w:val="00C7592B"/>
    <w:rsid w:val="00C831A8"/>
    <w:rsid w:val="00C86541"/>
    <w:rsid w:val="00C959E4"/>
    <w:rsid w:val="00C95F91"/>
    <w:rsid w:val="00CA19AC"/>
    <w:rsid w:val="00CA3ADB"/>
    <w:rsid w:val="00CA470D"/>
    <w:rsid w:val="00CB56EE"/>
    <w:rsid w:val="00CD5755"/>
    <w:rsid w:val="00CE627A"/>
    <w:rsid w:val="00CE6F87"/>
    <w:rsid w:val="00CE7D2D"/>
    <w:rsid w:val="00CF1820"/>
    <w:rsid w:val="00D017F6"/>
    <w:rsid w:val="00D02559"/>
    <w:rsid w:val="00D1695F"/>
    <w:rsid w:val="00D237B3"/>
    <w:rsid w:val="00D363DD"/>
    <w:rsid w:val="00D37A95"/>
    <w:rsid w:val="00D42EEA"/>
    <w:rsid w:val="00D562F8"/>
    <w:rsid w:val="00D6019E"/>
    <w:rsid w:val="00D61608"/>
    <w:rsid w:val="00D75C74"/>
    <w:rsid w:val="00D76E19"/>
    <w:rsid w:val="00D8063E"/>
    <w:rsid w:val="00D817E0"/>
    <w:rsid w:val="00D81982"/>
    <w:rsid w:val="00D84307"/>
    <w:rsid w:val="00D87BAE"/>
    <w:rsid w:val="00D922AA"/>
    <w:rsid w:val="00D92416"/>
    <w:rsid w:val="00DB35D1"/>
    <w:rsid w:val="00DC4DAC"/>
    <w:rsid w:val="00DC6235"/>
    <w:rsid w:val="00DC6DDE"/>
    <w:rsid w:val="00DC7421"/>
    <w:rsid w:val="00DC7811"/>
    <w:rsid w:val="00DD537D"/>
    <w:rsid w:val="00DE2419"/>
    <w:rsid w:val="00DE372C"/>
    <w:rsid w:val="00DE4B52"/>
    <w:rsid w:val="00DE51EB"/>
    <w:rsid w:val="00DE747D"/>
    <w:rsid w:val="00DF274C"/>
    <w:rsid w:val="00E01499"/>
    <w:rsid w:val="00E17687"/>
    <w:rsid w:val="00E3109D"/>
    <w:rsid w:val="00E401D7"/>
    <w:rsid w:val="00E466ED"/>
    <w:rsid w:val="00E559A3"/>
    <w:rsid w:val="00E65F59"/>
    <w:rsid w:val="00E67332"/>
    <w:rsid w:val="00E801BC"/>
    <w:rsid w:val="00E82450"/>
    <w:rsid w:val="00E92BBF"/>
    <w:rsid w:val="00E94F06"/>
    <w:rsid w:val="00E96745"/>
    <w:rsid w:val="00EA0A78"/>
    <w:rsid w:val="00EA6B46"/>
    <w:rsid w:val="00EA7576"/>
    <w:rsid w:val="00EB237C"/>
    <w:rsid w:val="00EB755E"/>
    <w:rsid w:val="00EC2040"/>
    <w:rsid w:val="00ED18F6"/>
    <w:rsid w:val="00EE0CBC"/>
    <w:rsid w:val="00EE16E0"/>
    <w:rsid w:val="00F0178B"/>
    <w:rsid w:val="00F03820"/>
    <w:rsid w:val="00F062D0"/>
    <w:rsid w:val="00F10D28"/>
    <w:rsid w:val="00F175BE"/>
    <w:rsid w:val="00F20FF8"/>
    <w:rsid w:val="00F235A7"/>
    <w:rsid w:val="00F26597"/>
    <w:rsid w:val="00F36AC2"/>
    <w:rsid w:val="00F506BF"/>
    <w:rsid w:val="00F64E7C"/>
    <w:rsid w:val="00F717F2"/>
    <w:rsid w:val="00F74C56"/>
    <w:rsid w:val="00F85809"/>
    <w:rsid w:val="00F85947"/>
    <w:rsid w:val="00F938C6"/>
    <w:rsid w:val="00F956D5"/>
    <w:rsid w:val="00FA1596"/>
    <w:rsid w:val="00FA6ED8"/>
    <w:rsid w:val="00FA7279"/>
    <w:rsid w:val="00FB4232"/>
    <w:rsid w:val="00FC3EF4"/>
    <w:rsid w:val="00FD602E"/>
    <w:rsid w:val="00FD7F65"/>
    <w:rsid w:val="00FE467F"/>
    <w:rsid w:val="00FE6729"/>
    <w:rsid w:val="00FE7A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7B8761"/>
  <w15:docId w15:val="{D90B7EF0-D234-4B6E-B006-E5F0E37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5806"/>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835193329">
      <w:bodyDiv w:val="1"/>
      <w:marLeft w:val="0"/>
      <w:marRight w:val="0"/>
      <w:marTop w:val="0"/>
      <w:marBottom w:val="0"/>
      <w:divBdr>
        <w:top w:val="none" w:sz="0" w:space="0" w:color="auto"/>
        <w:left w:val="none" w:sz="0" w:space="0" w:color="auto"/>
        <w:bottom w:val="none" w:sz="0" w:space="0" w:color="auto"/>
        <w:right w:val="none" w:sz="0" w:space="0" w:color="auto"/>
      </w:divBdr>
      <w:divsChild>
        <w:div w:id="208171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796303">
      <w:bodyDiv w:val="1"/>
      <w:marLeft w:val="0"/>
      <w:marRight w:val="0"/>
      <w:marTop w:val="0"/>
      <w:marBottom w:val="0"/>
      <w:divBdr>
        <w:top w:val="none" w:sz="0" w:space="0" w:color="auto"/>
        <w:left w:val="none" w:sz="0" w:space="0" w:color="auto"/>
        <w:bottom w:val="none" w:sz="0" w:space="0" w:color="auto"/>
        <w:right w:val="none" w:sz="0" w:space="0" w:color="auto"/>
      </w:divBdr>
      <w:divsChild>
        <w:div w:id="419179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272979008">
      <w:bodyDiv w:val="1"/>
      <w:marLeft w:val="0"/>
      <w:marRight w:val="0"/>
      <w:marTop w:val="0"/>
      <w:marBottom w:val="0"/>
      <w:divBdr>
        <w:top w:val="none" w:sz="0" w:space="0" w:color="auto"/>
        <w:left w:val="none" w:sz="0" w:space="0" w:color="auto"/>
        <w:bottom w:val="none" w:sz="0" w:space="0" w:color="auto"/>
        <w:right w:val="none" w:sz="0" w:space="0" w:color="auto"/>
      </w:divBdr>
      <w:divsChild>
        <w:div w:id="202999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 w:id="199860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2</Pages>
  <Words>665</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4464</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c:creator>
  <cp:lastModifiedBy>Gert Egle</cp:lastModifiedBy>
  <cp:revision>2</cp:revision>
  <cp:lastPrinted>2018-11-14T08:13:00Z</cp:lastPrinted>
  <dcterms:created xsi:type="dcterms:W3CDTF">2018-11-14T08:14:00Z</dcterms:created>
  <dcterms:modified xsi:type="dcterms:W3CDTF">2018-11-14T08:14:00Z</dcterms:modified>
</cp:coreProperties>
</file>