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B3D3" w14:textId="7A281F70" w:rsidR="009844D9" w:rsidRPr="00287A7A" w:rsidRDefault="0056504F" w:rsidP="009844D9">
      <w:pPr>
        <w:spacing w:after="240"/>
        <w:rPr>
          <w:color w:val="1F497D" w:themeColor="text2"/>
          <w:sz w:val="24"/>
        </w:rPr>
        <w:sectPr w:rsidR="009844D9" w:rsidRPr="00287A7A"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r w:rsidRPr="00287A7A">
        <w:rPr>
          <w:b/>
          <w:color w:val="1F497D" w:themeColor="text2"/>
          <w:sz w:val="32"/>
        </w:rPr>
        <w:t>Mal so zwischendurch …</w:t>
      </w:r>
      <w:r w:rsidR="00EF491B" w:rsidRPr="00287A7A">
        <w:rPr>
          <w:b/>
          <w:color w:val="1F497D" w:themeColor="text2"/>
          <w:sz w:val="32"/>
        </w:rPr>
        <w:t>2</w:t>
      </w:r>
      <w:r w:rsidR="00F554B4" w:rsidRPr="00287A7A">
        <w:rPr>
          <w:b/>
          <w:color w:val="1F497D" w:themeColor="text2"/>
          <w:sz w:val="32"/>
        </w:rPr>
        <w:br/>
      </w:r>
      <w:r w:rsidR="00287A7A" w:rsidRPr="00287A7A">
        <w:rPr>
          <w:color w:val="1F497D" w:themeColor="text2"/>
          <w:sz w:val="24"/>
        </w:rPr>
        <w:t>„Das“ oder „dass“? - Relativsätze in "Saisonbeginn“ von Elisabeth Langgässer  (Auszug)</w:t>
      </w:r>
    </w:p>
    <w:p w14:paraId="68F6B9B2" w14:textId="63706DAD" w:rsidR="005B5084" w:rsidRPr="00444D88" w:rsidRDefault="00EF491B" w:rsidP="005B5084">
      <w:pPr>
        <w:jc w:val="both"/>
      </w:pPr>
      <w:r w:rsidRPr="00444D88">
        <w:t>…</w:t>
      </w:r>
      <w:r w:rsidR="005B5084" w:rsidRPr="00444D88">
        <w:t xml:space="preserve"> Nun beratschlagten die drei Männer, an welcher Stelle die Inschrift des Schildes am besten zur Geltung käme; sie sollte für alle, welche das/dass Dorf auf dem breiten Passweg betraten, besser: befuhren, als Blickfang dienen und nicht zu verfehlen sein. Man kam also überein, das/dass Schild kurz vor dem Wegekreuz anzubringen, gewissermaßen als Gruß, den die Ortschaft jedem Fremden entgegenschickte. Leider stellt sich aber heraus, das/dass der Pfosten dann in den Pflasterbelag einer Tankstelle hätte gesetzt werden müssen — eine Sache, die sich selbst verbot, da die Wagen, besonders die größeren, dann am Wenden behindert waren. Die Männer schleppten also den Pfosten noch ein Stück weiter hinaus bis zu der Gemeindewiese und wollten schon mit der Arbeit beginnen, als ihnen auffiel, </w:t>
      </w:r>
      <w:r w:rsidRPr="00444D88">
        <w:t>das/dass</w:t>
      </w:r>
      <w:r w:rsidR="005B5084" w:rsidRPr="00444D88">
        <w:t xml:space="preserve"> diese Stelle bereits zu weit von dem Ortsschild entfernt war, </w:t>
      </w:r>
      <w:r w:rsidRPr="00444D88">
        <w:t>das/dass</w:t>
      </w:r>
      <w:r w:rsidR="005B5084" w:rsidRPr="00444D88">
        <w:t xml:space="preserve"> den Namen angab und die Gemeinde, zu welcher der Flecken gehörte. Wenn also das Dorf den Vorzug dieses Schildes und seiner Inschrift für sich beanspruchen wollte, musste das Schild wieder näher</w:t>
      </w:r>
      <w:r w:rsidRPr="00444D88">
        <w:t xml:space="preserve"> </w:t>
      </w:r>
      <w:r w:rsidR="005B5084" w:rsidRPr="00444D88">
        <w:t>rücken — am besten gerade dem Kreuz gegenüber, so das/dass Wagen und Fußgänger zwischen beiden hätten passieren müssen.</w:t>
      </w:r>
    </w:p>
    <w:p w14:paraId="6D0A1416" w14:textId="23697466" w:rsidR="0056504F" w:rsidRDefault="005B5084" w:rsidP="005B5084">
      <w:pPr>
        <w:jc w:val="both"/>
      </w:pPr>
      <w:r w:rsidRPr="00444D88">
        <w:t xml:space="preserve">   Dieser Vorschlag, von dem Mann mit den Nägeln und dem Hammer gemacht, fand Beifall. Die beiden anderen luden von neuem den Pfosten auf ihre Schultern und schleppten ihn vor das Kreuz. Nun sollte also das Schil</w:t>
      </w:r>
      <w:r w:rsidR="00EF491B" w:rsidRPr="00444D88">
        <w:t>d mit der Inschrift zu dem Wege</w:t>
      </w:r>
      <w:r w:rsidRPr="00444D88">
        <w:t xml:space="preserve">kreuz senkrecht stehen; doch zeigte es sich, </w:t>
      </w:r>
      <w:r w:rsidR="00EF491B" w:rsidRPr="00444D88">
        <w:t xml:space="preserve">das/dass </w:t>
      </w:r>
      <w:r w:rsidRPr="00444D88">
        <w:t>die uralte Buche, welche gerade hier ihre Äste mit riesiger Spanne nach beiden Seiten wie eine Mantelmadonna ihren Umhang entfaltete, die Inschrift im Sommer verdeckt und ihr Schattenspiel deren Bedeutung verwischt, aber mindestens abgeschwächt hätte.</w:t>
      </w:r>
      <w:r w:rsidR="00C11737" w:rsidRPr="00444D88">
        <w:t xml:space="preserve">  ...</w:t>
      </w:r>
    </w:p>
    <w:p w14:paraId="1FA32F85" w14:textId="77777777" w:rsidR="00444D88" w:rsidRPr="00444D88" w:rsidRDefault="00444D88" w:rsidP="005B5084">
      <w:pPr>
        <w:jc w:val="both"/>
      </w:pPr>
    </w:p>
    <w:p w14:paraId="6C0FA07B" w14:textId="77777777" w:rsidR="0056504F" w:rsidRPr="009844D9" w:rsidRDefault="0056504F" w:rsidP="0087695C">
      <w:pPr>
        <w:spacing w:before="240" w:after="240"/>
        <w:sectPr w:rsidR="0056504F" w:rsidRPr="009844D9" w:rsidSect="009844D9">
          <w:type w:val="continuous"/>
          <w:pgSz w:w="11900" w:h="16840"/>
          <w:pgMar w:top="1418" w:right="1418" w:bottom="1134" w:left="1418" w:header="709" w:footer="709" w:gutter="0"/>
          <w:lnNumType w:countBy="5" w:restart="newSection"/>
          <w:cols w:space="708"/>
          <w:docGrid w:linePitch="360"/>
        </w:sectPr>
      </w:pPr>
    </w:p>
    <w:p w14:paraId="61AA2AF0" w14:textId="05E2772A" w:rsidR="00C4599D" w:rsidRDefault="00C11737" w:rsidP="00721F70">
      <w:pPr>
        <w:spacing w:before="240"/>
        <w:jc w:val="right"/>
        <w:rPr>
          <w:rFonts w:asciiTheme="majorHAnsi" w:hAnsiTheme="majorHAnsi"/>
          <w:b/>
          <w:sz w:val="22"/>
          <w:szCs w:val="22"/>
        </w:rPr>
      </w:pPr>
      <w:r w:rsidRPr="00C11737">
        <w:rPr>
          <w:sz w:val="18"/>
        </w:rPr>
        <w:t>(aus: Elisabeth Langgässer, Der Torso, Hamburg: Claasen 1947, S.15-18)</w:t>
      </w:r>
    </w:p>
    <w:p w14:paraId="2BFE24EC" w14:textId="48177B9A" w:rsidR="00680E48" w:rsidRPr="00680E48" w:rsidRDefault="00680E48" w:rsidP="00E971DD">
      <w:pPr>
        <w:rPr>
          <w:rFonts w:asciiTheme="majorHAnsi" w:hAnsiTheme="majorHAnsi"/>
          <w:b/>
          <w:sz w:val="22"/>
          <w:szCs w:val="22"/>
        </w:rPr>
      </w:pPr>
      <w:r w:rsidRPr="00680E48">
        <w:rPr>
          <w:rFonts w:asciiTheme="majorHAnsi" w:hAnsiTheme="majorHAnsi"/>
          <w:b/>
          <w:sz w:val="22"/>
          <w:szCs w:val="22"/>
        </w:rPr>
        <w:t>Arbeitsanregungen:</w:t>
      </w:r>
    </w:p>
    <w:p w14:paraId="31BCAD90" w14:textId="77777777" w:rsidR="00EF491B" w:rsidRPr="00287A7A" w:rsidRDefault="0056504F" w:rsidP="00E971DD">
      <w:pPr>
        <w:spacing w:before="60"/>
        <w:rPr>
          <w:rFonts w:asciiTheme="majorHAnsi" w:hAnsiTheme="majorHAnsi"/>
          <w:b/>
          <w:bCs/>
          <w:sz w:val="22"/>
          <w:szCs w:val="22"/>
        </w:rPr>
      </w:pPr>
      <w:r w:rsidRPr="00287A7A">
        <w:rPr>
          <w:rFonts w:asciiTheme="majorHAnsi" w:hAnsiTheme="majorHAnsi"/>
          <w:b/>
          <w:bCs/>
          <w:sz w:val="22"/>
          <w:szCs w:val="22"/>
        </w:rPr>
        <w:t xml:space="preserve">Übung zur </w:t>
      </w:r>
      <w:r w:rsidR="00EF491B" w:rsidRPr="00287A7A">
        <w:rPr>
          <w:rFonts w:asciiTheme="majorHAnsi" w:hAnsiTheme="majorHAnsi"/>
          <w:b/>
          <w:bCs/>
          <w:sz w:val="22"/>
          <w:szCs w:val="22"/>
        </w:rPr>
        <w:t>Rechtschreibung und Grammatik</w:t>
      </w:r>
      <w:r w:rsidRPr="00287A7A">
        <w:rPr>
          <w:rFonts w:asciiTheme="majorHAnsi" w:hAnsiTheme="majorHAnsi"/>
          <w:b/>
          <w:bCs/>
          <w:sz w:val="22"/>
          <w:szCs w:val="22"/>
        </w:rPr>
        <w:t xml:space="preserve">: </w:t>
      </w:r>
      <w:r w:rsidR="00EF491B" w:rsidRPr="00287A7A">
        <w:rPr>
          <w:rFonts w:asciiTheme="majorHAnsi" w:hAnsiTheme="majorHAnsi"/>
          <w:b/>
          <w:bCs/>
          <w:sz w:val="22"/>
          <w:szCs w:val="22"/>
        </w:rPr>
        <w:t>Artikel/Relativ-/Demonstrativpronomen „das“ und Konjunktion „dass“ – Relativsätze/Attributsätze</w:t>
      </w:r>
    </w:p>
    <w:p w14:paraId="374BE092" w14:textId="51B3EFC1" w:rsidR="00EF491B" w:rsidRPr="00EF491B" w:rsidRDefault="00EF491B" w:rsidP="00E971DD">
      <w:pPr>
        <w:pStyle w:val="Listenabsatz"/>
        <w:numPr>
          <w:ilvl w:val="0"/>
          <w:numId w:val="37"/>
        </w:numPr>
        <w:spacing w:before="60" w:after="120"/>
        <w:ind w:left="714" w:hanging="357"/>
        <w:rPr>
          <w:rFonts w:asciiTheme="majorHAnsi" w:hAnsiTheme="majorHAnsi"/>
          <w:sz w:val="22"/>
          <w:szCs w:val="22"/>
        </w:rPr>
      </w:pPr>
      <w:r w:rsidRPr="00EF491B">
        <w:rPr>
          <w:rFonts w:asciiTheme="majorHAnsi" w:hAnsiTheme="majorHAnsi"/>
          <w:sz w:val="22"/>
          <w:szCs w:val="22"/>
        </w:rPr>
        <w:t>Unterstreichen Sie die vorkommenden Relativsätze (Attributsätze). Markieren Sie dabei besonders das den Attributsatz einleitende Relativpronomen (der, die, das, welcher, welche, welches, wo, wie, wodurch …)  (= bezügliches Fürwort)</w:t>
      </w:r>
    </w:p>
    <w:p w14:paraId="6B00C44E" w14:textId="2CF9A92F" w:rsidR="00EF491B" w:rsidRPr="00EF491B" w:rsidRDefault="0056504F" w:rsidP="00EF491B">
      <w:pPr>
        <w:pStyle w:val="Listenabsatz"/>
        <w:numPr>
          <w:ilvl w:val="0"/>
          <w:numId w:val="37"/>
        </w:numPr>
        <w:spacing w:before="240" w:after="120"/>
        <w:rPr>
          <w:rFonts w:asciiTheme="majorHAnsi" w:hAnsiTheme="majorHAnsi"/>
          <w:sz w:val="22"/>
          <w:szCs w:val="22"/>
        </w:rPr>
      </w:pPr>
      <w:r w:rsidRPr="00EF491B">
        <w:rPr>
          <w:rFonts w:asciiTheme="majorHAnsi" w:hAnsiTheme="majorHAnsi"/>
          <w:sz w:val="22"/>
          <w:szCs w:val="22"/>
        </w:rPr>
        <w:t>Lesen Sie den Textabschnitt</w:t>
      </w:r>
      <w:r w:rsidR="00EF491B" w:rsidRPr="00EF491B">
        <w:rPr>
          <w:rFonts w:asciiTheme="majorHAnsi" w:hAnsiTheme="majorHAnsi"/>
          <w:sz w:val="22"/>
          <w:szCs w:val="22"/>
        </w:rPr>
        <w:t xml:space="preserve"> und streichen Sie die jeweils falsche Variante der „Das-dass-Kombination“ durch.</w:t>
      </w:r>
    </w:p>
    <w:p w14:paraId="1ADEA332" w14:textId="77777777" w:rsidR="009E2891" w:rsidRPr="00444D88" w:rsidRDefault="00721F70" w:rsidP="00444D88">
      <w:pPr>
        <w:pStyle w:val="StandardWeb"/>
        <w:spacing w:before="0" w:beforeAutospacing="0" w:after="0" w:afterAutospacing="0"/>
        <w:ind w:left="66"/>
        <w:rPr>
          <w:sz w:val="8"/>
        </w:rPr>
      </w:pPr>
      <w:bookmarkStart w:id="0" w:name="_GoBack"/>
      <w:bookmarkEnd w:id="0"/>
      <w:r w:rsidRPr="00444D88">
        <w:rPr>
          <w:noProof/>
          <w:sz w:val="8"/>
        </w:rPr>
        <mc:AlternateContent>
          <mc:Choice Requires="wps">
            <w:drawing>
              <wp:anchor distT="0" distB="0" distL="114300" distR="114300" simplePos="0" relativeHeight="251660288" behindDoc="0" locked="0" layoutInCell="1" allowOverlap="1" wp14:anchorId="2C8F701A" wp14:editId="4820E50D">
                <wp:simplePos x="0" y="0"/>
                <wp:positionH relativeFrom="column">
                  <wp:posOffset>133350</wp:posOffset>
                </wp:positionH>
                <wp:positionV relativeFrom="paragraph">
                  <wp:posOffset>57785</wp:posOffset>
                </wp:positionV>
                <wp:extent cx="2707640" cy="3615055"/>
                <wp:effectExtent l="0" t="0" r="16510" b="23495"/>
                <wp:wrapSquare wrapText="bothSides"/>
                <wp:docPr id="1" name="Textfeld 1"/>
                <wp:cNvGraphicFramePr/>
                <a:graphic xmlns:a="http://schemas.openxmlformats.org/drawingml/2006/main">
                  <a:graphicData uri="http://schemas.microsoft.com/office/word/2010/wordprocessingShape">
                    <wps:wsp>
                      <wps:cNvSpPr txBox="1"/>
                      <wps:spPr>
                        <a:xfrm>
                          <a:off x="0" y="0"/>
                          <a:ext cx="2707640" cy="3615055"/>
                        </a:xfrm>
                        <a:prstGeom prst="rect">
                          <a:avLst/>
                        </a:prstGeom>
                        <a:noFill/>
                        <a:ln w="6350">
                          <a:solidFill>
                            <a:schemeClr val="bg1">
                              <a:lumMod val="85000"/>
                            </a:schemeClr>
                          </a:solidFill>
                        </a:ln>
                        <a:effectLst/>
                      </wps:spPr>
                      <wps:txbx>
                        <w:txbxContent>
                          <w:p w14:paraId="29CF7FEF" w14:textId="151DF8CA" w:rsidR="00444D88" w:rsidRPr="00721F70" w:rsidRDefault="00444D88" w:rsidP="00444D88">
                            <w:pPr>
                              <w:rPr>
                                <w:rFonts w:asciiTheme="majorHAnsi" w:hAnsiTheme="majorHAnsi"/>
                                <w:sz w:val="18"/>
                              </w:rPr>
                            </w:pPr>
                            <w:r w:rsidRPr="00721F70">
                              <w:rPr>
                                <w:rFonts w:asciiTheme="majorHAnsi" w:hAnsiTheme="majorHAnsi"/>
                                <w:sz w:val="18"/>
                              </w:rPr>
                              <w:t xml:space="preserve">Die richtige </w:t>
                            </w:r>
                            <w:r w:rsidRPr="00721F70">
                              <w:rPr>
                                <w:rFonts w:asciiTheme="majorHAnsi" w:hAnsiTheme="majorHAnsi"/>
                                <w:b/>
                                <w:bCs/>
                                <w:sz w:val="18"/>
                              </w:rPr>
                              <w:t>Schreibung von »das« oder »dass«</w:t>
                            </w:r>
                            <w:r w:rsidRPr="00721F70">
                              <w:rPr>
                                <w:rFonts w:asciiTheme="majorHAnsi" w:hAnsiTheme="majorHAnsi"/>
                                <w:sz w:val="18"/>
                              </w:rPr>
                              <w:t xml:space="preserve"> gehört zu einem weit verbreiteten Einzelproblem der deutschen Rechtschreibung und Zeichensetzung. Die daraus resultierenden Fehler lassen sich im Allgemeinen darauf zurückführen: </w:t>
                            </w:r>
                          </w:p>
                          <w:p w14:paraId="186BC6FF" w14:textId="77777777" w:rsidR="00444D88" w:rsidRPr="00721F70" w:rsidRDefault="00444D88" w:rsidP="00444D88">
                            <w:pPr>
                              <w:pStyle w:val="StandardWeb"/>
                              <w:numPr>
                                <w:ilvl w:val="0"/>
                                <w:numId w:val="40"/>
                              </w:numPr>
                              <w:tabs>
                                <w:tab w:val="left" w:pos="284"/>
                              </w:tabs>
                              <w:spacing w:before="0" w:beforeAutospacing="0" w:after="0" w:afterAutospacing="0"/>
                              <w:rPr>
                                <w:rFonts w:asciiTheme="majorHAnsi" w:hAnsiTheme="majorHAnsi"/>
                                <w:sz w:val="18"/>
                              </w:rPr>
                            </w:pPr>
                            <w:r w:rsidRPr="00721F70">
                              <w:rPr>
                                <w:rFonts w:asciiTheme="majorHAnsi" w:hAnsiTheme="majorHAnsi"/>
                                <w:sz w:val="18"/>
                              </w:rPr>
                              <w:t xml:space="preserve">Die </w:t>
                            </w:r>
                            <w:r w:rsidRPr="00721F70">
                              <w:rPr>
                                <w:rFonts w:asciiTheme="majorHAnsi" w:hAnsiTheme="majorHAnsi"/>
                                <w:b/>
                                <w:bCs/>
                                <w:sz w:val="18"/>
                              </w:rPr>
                              <w:t>Aussprache</w:t>
                            </w:r>
                            <w:r w:rsidRPr="00721F70">
                              <w:rPr>
                                <w:rFonts w:asciiTheme="majorHAnsi" w:hAnsiTheme="majorHAnsi"/>
                                <w:sz w:val="18"/>
                              </w:rPr>
                              <w:t xml:space="preserve"> der beiden Wörter klingt vielfach ganz ähnlich.</w:t>
                            </w:r>
                          </w:p>
                          <w:p w14:paraId="79BDEFF0" w14:textId="6473317A" w:rsidR="00444D88" w:rsidRPr="00721F70" w:rsidRDefault="00444D88" w:rsidP="00444D88">
                            <w:pPr>
                              <w:pStyle w:val="StandardWeb"/>
                              <w:numPr>
                                <w:ilvl w:val="0"/>
                                <w:numId w:val="40"/>
                              </w:numPr>
                              <w:spacing w:before="0" w:beforeAutospacing="0" w:after="0" w:afterAutospacing="0"/>
                              <w:rPr>
                                <w:rFonts w:asciiTheme="majorHAnsi" w:hAnsiTheme="majorHAnsi"/>
                                <w:sz w:val="18"/>
                              </w:rPr>
                            </w:pPr>
                            <w:r w:rsidRPr="00721F70">
                              <w:rPr>
                                <w:rFonts w:asciiTheme="majorHAnsi" w:hAnsiTheme="majorHAnsi"/>
                                <w:sz w:val="18"/>
                              </w:rPr>
                              <w:t xml:space="preserve">Die </w:t>
                            </w:r>
                            <w:r w:rsidRPr="00721F70">
                              <w:rPr>
                                <w:rFonts w:asciiTheme="majorHAnsi" w:hAnsiTheme="majorHAnsi"/>
                                <w:b/>
                                <w:bCs/>
                                <w:sz w:val="18"/>
                              </w:rPr>
                              <w:t>Wortarten</w:t>
                            </w:r>
                            <w:r w:rsidRPr="00721F70">
                              <w:rPr>
                                <w:rFonts w:asciiTheme="majorHAnsi" w:hAnsiTheme="majorHAnsi"/>
                                <w:sz w:val="18"/>
                              </w:rPr>
                              <w:t xml:space="preserve"> Artikel, Demonstrativ-, Relativpronomen und Konjunktion werden im Kontext der sprachlichen Äußerung nicht erkannt.</w:t>
                            </w:r>
                          </w:p>
                          <w:p w14:paraId="06061D1A" w14:textId="0D778FBD" w:rsidR="00444D88" w:rsidRPr="00721F70" w:rsidRDefault="00444D88" w:rsidP="00444D88">
                            <w:pPr>
                              <w:pStyle w:val="StandardWeb"/>
                              <w:numPr>
                                <w:ilvl w:val="0"/>
                                <w:numId w:val="40"/>
                              </w:numPr>
                              <w:spacing w:before="0" w:beforeAutospacing="0" w:after="0" w:afterAutospacing="0"/>
                              <w:rPr>
                                <w:rFonts w:asciiTheme="majorHAnsi" w:hAnsiTheme="majorHAnsi"/>
                                <w:sz w:val="18"/>
                              </w:rPr>
                            </w:pPr>
                            <w:r w:rsidRPr="00721F70">
                              <w:rPr>
                                <w:rFonts w:asciiTheme="majorHAnsi" w:hAnsiTheme="majorHAnsi"/>
                                <w:sz w:val="18"/>
                              </w:rPr>
                              <w:t xml:space="preserve">Die </w:t>
                            </w:r>
                            <w:r w:rsidRPr="00721F70">
                              <w:rPr>
                                <w:rFonts w:asciiTheme="majorHAnsi" w:hAnsiTheme="majorHAnsi"/>
                                <w:b/>
                                <w:bCs/>
                                <w:sz w:val="18"/>
                              </w:rPr>
                              <w:t>Gliedsatzarten</w:t>
                            </w:r>
                            <w:r w:rsidRPr="00721F70">
                              <w:rPr>
                                <w:rFonts w:asciiTheme="majorHAnsi" w:hAnsiTheme="majorHAnsi"/>
                                <w:sz w:val="18"/>
                              </w:rPr>
                              <w:t xml:space="preserve"> Relativ- und Konjunktionalsatz können nicht unterschieden werden. So hat manch einer schon einmal gehört, dass die unterordnende </w:t>
                            </w:r>
                            <w:r w:rsidRPr="00721F70">
                              <w:rPr>
                                <w:rFonts w:asciiTheme="majorHAnsi" w:hAnsiTheme="majorHAnsi"/>
                                <w:b/>
                                <w:bCs/>
                                <w:sz w:val="18"/>
                              </w:rPr>
                              <w:t>Konjunktion</w:t>
                            </w:r>
                            <w:r w:rsidRPr="00721F70">
                              <w:rPr>
                                <w:rFonts w:asciiTheme="majorHAnsi" w:hAnsiTheme="majorHAnsi"/>
                                <w:sz w:val="18"/>
                              </w:rPr>
                              <w:t xml:space="preserve"> "dass" Gliedsätze (Konjunktionalsätze) einleitet. </w:t>
                            </w:r>
                            <w:r w:rsidRPr="00721F70">
                              <w:rPr>
                                <w:rFonts w:asciiTheme="majorHAnsi" w:hAnsiTheme="majorHAnsi"/>
                                <w:b/>
                                <w:bCs/>
                                <w:sz w:val="18"/>
                              </w:rPr>
                              <w:t>Aber</w:t>
                            </w:r>
                            <w:r w:rsidRPr="00721F70">
                              <w:rPr>
                                <w:rFonts w:asciiTheme="majorHAnsi" w:hAnsiTheme="majorHAnsi"/>
                                <w:sz w:val="18"/>
                              </w:rPr>
                              <w:t xml:space="preserve">: Diese Bedingung reicht nicht aus, um die korrekte Schreibung von "dass" und "das" zu beherrschen. Denn auch das </w:t>
                            </w:r>
                            <w:r w:rsidRPr="00721F70">
                              <w:rPr>
                                <w:rFonts w:asciiTheme="majorHAnsi" w:hAnsiTheme="majorHAnsi"/>
                                <w:b/>
                                <w:bCs/>
                                <w:sz w:val="18"/>
                              </w:rPr>
                              <w:t>Relativpronomen</w:t>
                            </w:r>
                            <w:r w:rsidRPr="00721F70">
                              <w:rPr>
                                <w:rFonts w:asciiTheme="majorHAnsi" w:hAnsiTheme="majorHAnsi"/>
                                <w:sz w:val="18"/>
                              </w:rPr>
                              <w:t xml:space="preserve"> "das" kann einen Gliedsatz (Attributsatz/ Relativsatz) einleiten.</w:t>
                            </w:r>
                          </w:p>
                          <w:p w14:paraId="3ED20893" w14:textId="55BE8D78" w:rsidR="00287A7A" w:rsidRPr="00721F70" w:rsidRDefault="00287A7A" w:rsidP="00287A7A">
                            <w:pPr>
                              <w:pStyle w:val="StandardWeb"/>
                              <w:numPr>
                                <w:ilvl w:val="0"/>
                                <w:numId w:val="40"/>
                              </w:numPr>
                              <w:tabs>
                                <w:tab w:val="clear" w:pos="360"/>
                              </w:tabs>
                              <w:spacing w:before="0" w:beforeAutospacing="0" w:after="0" w:afterAutospacing="0"/>
                              <w:rPr>
                                <w:rFonts w:asciiTheme="majorHAnsi" w:hAnsiTheme="majorHAnsi"/>
                                <w:sz w:val="18"/>
                              </w:rPr>
                            </w:pPr>
                            <w:r w:rsidRPr="00721F70">
                              <w:rPr>
                                <w:rFonts w:asciiTheme="majorHAnsi" w:hAnsiTheme="majorHAnsi"/>
                                <w:sz w:val="18"/>
                              </w:rPr>
                              <w:t xml:space="preserve">Steht ein "Dass" bzw. ein "Das" am Satzanfang so wird offenbar leicht angenommen, dass es sich dabei um den bestimmten </w:t>
                            </w:r>
                            <w:r w:rsidRPr="00721F70">
                              <w:rPr>
                                <w:rFonts w:asciiTheme="majorHAnsi" w:hAnsiTheme="majorHAnsi"/>
                                <w:b/>
                                <w:bCs/>
                                <w:sz w:val="18"/>
                              </w:rPr>
                              <w:t>Artikel</w:t>
                            </w:r>
                            <w:r w:rsidRPr="00721F70">
                              <w:rPr>
                                <w:rFonts w:asciiTheme="majorHAnsi" w:hAnsiTheme="majorHAnsi"/>
                                <w:sz w:val="18"/>
                              </w:rPr>
                              <w:t xml:space="preserve"> (das) handelt.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F701A" id="_x0000_t202" coordsize="21600,21600" o:spt="202" path="m,l,21600r21600,l21600,xe">
                <v:stroke joinstyle="miter"/>
                <v:path gradientshapeok="t" o:connecttype="rect"/>
              </v:shapetype>
              <v:shape id="Textfeld 1" o:spid="_x0000_s1026" type="#_x0000_t202" style="position:absolute;left:0;text-align:left;margin-left:10.5pt;margin-top:4.55pt;width:213.2pt;height:28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" filled="f" strokecolor="#d8d8d8 [2732]" strokeweight=".5pt">
                <v:textbox>
                  <w:txbxContent>
                    <w:p w14:paraId="29CF7FEF" w14:textId="151DF8CA" w:rsidR="00444D88" w:rsidRPr="00721F70" w:rsidRDefault="00444D88" w:rsidP="00444D88">
                      <w:pPr>
                        <w:rPr>
                          <w:rFonts w:asciiTheme="majorHAnsi" w:hAnsiTheme="majorHAnsi"/>
                          <w:sz w:val="18"/>
                        </w:rPr>
                      </w:pPr>
                      <w:r w:rsidRPr="00721F70">
                        <w:rPr>
                          <w:rFonts w:asciiTheme="majorHAnsi" w:hAnsiTheme="majorHAnsi"/>
                          <w:sz w:val="18"/>
                        </w:rPr>
                        <w:t xml:space="preserve">Die richtige </w:t>
                      </w:r>
                      <w:r w:rsidRPr="00721F70">
                        <w:rPr>
                          <w:rFonts w:asciiTheme="majorHAnsi" w:hAnsiTheme="majorHAnsi"/>
                          <w:b/>
                          <w:bCs/>
                          <w:sz w:val="18"/>
                        </w:rPr>
                        <w:t>Schreibung von »das« oder »dass«</w:t>
                      </w:r>
                      <w:r w:rsidRPr="00721F70">
                        <w:rPr>
                          <w:rFonts w:asciiTheme="majorHAnsi" w:hAnsiTheme="majorHAnsi"/>
                          <w:sz w:val="18"/>
                        </w:rPr>
                        <w:t xml:space="preserve"> gehört zu einem weit verbreiteten Einzelproblem der deutschen Rechtschreibung und Zeichensetzung. Die daraus resultierenden Fehler lassen sich im Allgemeinen darauf zurückführen: </w:t>
                      </w:r>
                    </w:p>
                    <w:p w14:paraId="186BC6FF" w14:textId="77777777" w:rsidR="00444D88" w:rsidRPr="00721F70" w:rsidRDefault="00444D88" w:rsidP="00444D88">
                      <w:pPr>
                        <w:pStyle w:val="StandardWeb"/>
                        <w:numPr>
                          <w:ilvl w:val="0"/>
                          <w:numId w:val="40"/>
                        </w:numPr>
                        <w:tabs>
                          <w:tab w:val="left" w:pos="284"/>
                        </w:tabs>
                        <w:spacing w:before="0" w:beforeAutospacing="0" w:after="0" w:afterAutospacing="0"/>
                        <w:rPr>
                          <w:rFonts w:asciiTheme="majorHAnsi" w:hAnsiTheme="majorHAnsi"/>
                          <w:sz w:val="18"/>
                        </w:rPr>
                      </w:pPr>
                      <w:r w:rsidRPr="00721F70">
                        <w:rPr>
                          <w:rFonts w:asciiTheme="majorHAnsi" w:hAnsiTheme="majorHAnsi"/>
                          <w:sz w:val="18"/>
                        </w:rPr>
                        <w:t xml:space="preserve">Die </w:t>
                      </w:r>
                      <w:r w:rsidRPr="00721F70">
                        <w:rPr>
                          <w:rFonts w:asciiTheme="majorHAnsi" w:hAnsiTheme="majorHAnsi"/>
                          <w:b/>
                          <w:bCs/>
                          <w:sz w:val="18"/>
                        </w:rPr>
                        <w:t>Aussprache</w:t>
                      </w:r>
                      <w:r w:rsidRPr="00721F70">
                        <w:rPr>
                          <w:rFonts w:asciiTheme="majorHAnsi" w:hAnsiTheme="majorHAnsi"/>
                          <w:sz w:val="18"/>
                        </w:rPr>
                        <w:t xml:space="preserve"> der beiden Wörter klingt vielfach ganz ähnlich.</w:t>
                      </w:r>
                    </w:p>
                    <w:p w14:paraId="79BDEFF0" w14:textId="6473317A" w:rsidR="00444D88" w:rsidRPr="00721F70" w:rsidRDefault="00444D88" w:rsidP="00444D88">
                      <w:pPr>
                        <w:pStyle w:val="StandardWeb"/>
                        <w:numPr>
                          <w:ilvl w:val="0"/>
                          <w:numId w:val="40"/>
                        </w:numPr>
                        <w:spacing w:before="0" w:beforeAutospacing="0" w:after="0" w:afterAutospacing="0"/>
                        <w:rPr>
                          <w:rFonts w:asciiTheme="majorHAnsi" w:hAnsiTheme="majorHAnsi"/>
                          <w:sz w:val="18"/>
                        </w:rPr>
                      </w:pPr>
                      <w:r w:rsidRPr="00721F70">
                        <w:rPr>
                          <w:rFonts w:asciiTheme="majorHAnsi" w:hAnsiTheme="majorHAnsi"/>
                          <w:sz w:val="18"/>
                        </w:rPr>
                        <w:t xml:space="preserve">Die </w:t>
                      </w:r>
                      <w:r w:rsidRPr="00721F70">
                        <w:rPr>
                          <w:rFonts w:asciiTheme="majorHAnsi" w:hAnsiTheme="majorHAnsi"/>
                          <w:b/>
                          <w:bCs/>
                          <w:sz w:val="18"/>
                        </w:rPr>
                        <w:t>Wortarten</w:t>
                      </w:r>
                      <w:r w:rsidRPr="00721F70">
                        <w:rPr>
                          <w:rFonts w:asciiTheme="majorHAnsi" w:hAnsiTheme="majorHAnsi"/>
                          <w:sz w:val="18"/>
                        </w:rPr>
                        <w:t xml:space="preserve"> Artikel, Demonstrativ-, Relativpronomen und Konjunktion werden im Kontext der sprachlichen Äußerung nicht erkannt.</w:t>
                      </w:r>
                    </w:p>
                    <w:p w14:paraId="06061D1A" w14:textId="0D778FBD" w:rsidR="00444D88" w:rsidRPr="00721F70" w:rsidRDefault="00444D88" w:rsidP="00444D88">
                      <w:pPr>
                        <w:pStyle w:val="StandardWeb"/>
                        <w:numPr>
                          <w:ilvl w:val="0"/>
                          <w:numId w:val="40"/>
                        </w:numPr>
                        <w:spacing w:before="0" w:beforeAutospacing="0" w:after="0" w:afterAutospacing="0"/>
                        <w:rPr>
                          <w:rFonts w:asciiTheme="majorHAnsi" w:hAnsiTheme="majorHAnsi"/>
                          <w:sz w:val="18"/>
                        </w:rPr>
                      </w:pPr>
                      <w:r w:rsidRPr="00721F70">
                        <w:rPr>
                          <w:rFonts w:asciiTheme="majorHAnsi" w:hAnsiTheme="majorHAnsi"/>
                          <w:sz w:val="18"/>
                        </w:rPr>
                        <w:t xml:space="preserve">Die </w:t>
                      </w:r>
                      <w:r w:rsidRPr="00721F70">
                        <w:rPr>
                          <w:rFonts w:asciiTheme="majorHAnsi" w:hAnsiTheme="majorHAnsi"/>
                          <w:b/>
                          <w:bCs/>
                          <w:sz w:val="18"/>
                        </w:rPr>
                        <w:t>Gliedsatzarten</w:t>
                      </w:r>
                      <w:r w:rsidRPr="00721F70">
                        <w:rPr>
                          <w:rFonts w:asciiTheme="majorHAnsi" w:hAnsiTheme="majorHAnsi"/>
                          <w:sz w:val="18"/>
                        </w:rPr>
                        <w:t xml:space="preserve"> Relativ- und Konjunktionalsatz können nicht unterschieden werden. So hat manch einer schon einmal gehört, dass die unterordnende </w:t>
                      </w:r>
                      <w:r w:rsidRPr="00721F70">
                        <w:rPr>
                          <w:rFonts w:asciiTheme="majorHAnsi" w:hAnsiTheme="majorHAnsi"/>
                          <w:b/>
                          <w:bCs/>
                          <w:sz w:val="18"/>
                        </w:rPr>
                        <w:t>Konjunktion</w:t>
                      </w:r>
                      <w:r w:rsidRPr="00721F70">
                        <w:rPr>
                          <w:rFonts w:asciiTheme="majorHAnsi" w:hAnsiTheme="majorHAnsi"/>
                          <w:sz w:val="18"/>
                        </w:rPr>
                        <w:t xml:space="preserve"> "dass" Gliedsätze (Konjunktionalsätze) einleitet. </w:t>
                      </w:r>
                      <w:r w:rsidRPr="00721F70">
                        <w:rPr>
                          <w:rFonts w:asciiTheme="majorHAnsi" w:hAnsiTheme="majorHAnsi"/>
                          <w:b/>
                          <w:bCs/>
                          <w:sz w:val="18"/>
                        </w:rPr>
                        <w:t>Aber</w:t>
                      </w:r>
                      <w:r w:rsidRPr="00721F70">
                        <w:rPr>
                          <w:rFonts w:asciiTheme="majorHAnsi" w:hAnsiTheme="majorHAnsi"/>
                          <w:sz w:val="18"/>
                        </w:rPr>
                        <w:t xml:space="preserve">: Diese Bedingung reicht nicht aus, um die korrekte Schreibung von "dass" und "das" zu beherrschen. Denn auch das </w:t>
                      </w:r>
                      <w:r w:rsidRPr="00721F70">
                        <w:rPr>
                          <w:rFonts w:asciiTheme="majorHAnsi" w:hAnsiTheme="majorHAnsi"/>
                          <w:b/>
                          <w:bCs/>
                          <w:sz w:val="18"/>
                        </w:rPr>
                        <w:t>Relativpronomen</w:t>
                      </w:r>
                      <w:r w:rsidRPr="00721F70">
                        <w:rPr>
                          <w:rFonts w:asciiTheme="majorHAnsi" w:hAnsiTheme="majorHAnsi"/>
                          <w:sz w:val="18"/>
                        </w:rPr>
                        <w:t xml:space="preserve"> "das" kann einen Gliedsatz (Attributsatz/ Relativsatz) einleiten.</w:t>
                      </w:r>
                    </w:p>
                    <w:p w14:paraId="3ED20893" w14:textId="55BE8D78" w:rsidR="00287A7A" w:rsidRPr="00721F70" w:rsidRDefault="00287A7A" w:rsidP="00287A7A">
                      <w:pPr>
                        <w:pStyle w:val="StandardWeb"/>
                        <w:numPr>
                          <w:ilvl w:val="0"/>
                          <w:numId w:val="40"/>
                        </w:numPr>
                        <w:tabs>
                          <w:tab w:val="clear" w:pos="360"/>
                        </w:tabs>
                        <w:spacing w:before="0" w:beforeAutospacing="0" w:after="0" w:afterAutospacing="0"/>
                        <w:rPr>
                          <w:rFonts w:asciiTheme="majorHAnsi" w:hAnsiTheme="majorHAnsi"/>
                          <w:sz w:val="18"/>
                        </w:rPr>
                      </w:pPr>
                      <w:r w:rsidRPr="00721F70">
                        <w:rPr>
                          <w:rFonts w:asciiTheme="majorHAnsi" w:hAnsiTheme="majorHAnsi"/>
                          <w:sz w:val="18"/>
                        </w:rPr>
                        <w:t xml:space="preserve">Steht ein "Dass" bzw. ein "Das" am Satzanfang so wird offenbar leicht angenommen, dass es sich dabei um den bestimmten </w:t>
                      </w:r>
                      <w:r w:rsidRPr="00721F70">
                        <w:rPr>
                          <w:rFonts w:asciiTheme="majorHAnsi" w:hAnsiTheme="majorHAnsi"/>
                          <w:b/>
                          <w:bCs/>
                          <w:sz w:val="18"/>
                        </w:rPr>
                        <w:t>Artikel</w:t>
                      </w:r>
                      <w:r w:rsidRPr="00721F70">
                        <w:rPr>
                          <w:rFonts w:asciiTheme="majorHAnsi" w:hAnsiTheme="majorHAnsi"/>
                          <w:sz w:val="18"/>
                        </w:rPr>
                        <w:t xml:space="preserve"> (das) handelt.</w:t>
                      </w:r>
                    </w:p>
                  </w:txbxContent>
                </v:textbox>
                <w10:wrap type="square"/>
              </v:shape>
            </w:pict>
          </mc:Fallback>
        </mc:AlternateContent>
      </w:r>
      <w:r w:rsidR="00287A7A" w:rsidRPr="00444D88">
        <w:rPr>
          <w:noProof/>
          <w:sz w:val="8"/>
          <w:szCs w:val="20"/>
        </w:rPr>
        <w:drawing>
          <wp:anchor distT="0" distB="0" distL="114300" distR="114300" simplePos="0" relativeHeight="251654144" behindDoc="0" locked="0" layoutInCell="1" allowOverlap="1" wp14:anchorId="01C477CE" wp14:editId="4D1AD611">
            <wp:simplePos x="0" y="0"/>
            <wp:positionH relativeFrom="column">
              <wp:posOffset>2879627</wp:posOffset>
            </wp:positionH>
            <wp:positionV relativeFrom="paragraph">
              <wp:posOffset>645990</wp:posOffset>
            </wp:positionV>
            <wp:extent cx="2771140" cy="2040890"/>
            <wp:effectExtent l="0" t="0" r="0" b="0"/>
            <wp:wrapSquare wrapText="bothSides"/>
            <wp:docPr id="2" name="Grafik 2" descr="C:\teachsam\deutsch\d_rechtschreibung\besprobl\mmf\images\das-d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achsam\deutsch\d_rechtschreibung\besprobl\mmf\images\das-dass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40" cy="20408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2891" w:rsidRPr="00444D88" w:rsidSect="00F554B4">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DE5F" w14:textId="77777777" w:rsidR="00CD53E2" w:rsidRDefault="00CD53E2" w:rsidP="003016EC">
      <w:r>
        <w:separator/>
      </w:r>
    </w:p>
  </w:endnote>
  <w:endnote w:type="continuationSeparator" w:id="0">
    <w:p w14:paraId="00CA0010" w14:textId="77777777" w:rsidR="00CD53E2" w:rsidRDefault="00CD53E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572" name="Grafik 57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5D66D875" w:rsidR="00227AF7" w:rsidRPr="00721F70" w:rsidRDefault="0026014A" w:rsidP="00721F70">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573" name="Grafik 57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7358" w14:textId="77777777" w:rsidR="00CD53E2" w:rsidRDefault="00CD53E2" w:rsidP="003016EC">
      <w:r>
        <w:separator/>
      </w:r>
    </w:p>
  </w:footnote>
  <w:footnote w:type="continuationSeparator" w:id="0">
    <w:p w14:paraId="00EB6E2D" w14:textId="77777777" w:rsidR="00CD53E2" w:rsidRDefault="00CD53E2"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CD53E2"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E617B">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7"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E617B">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57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36175328"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57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21F70">
      <w:rPr>
        <w:rFonts w:asciiTheme="majorHAnsi" w:hAnsiTheme="majorHAnsi"/>
      </w:rPr>
      <w:t xml:space="preserve">                                                 </w:t>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9BC7C47"/>
    <w:multiLevelType w:val="multilevel"/>
    <w:tmpl w:val="453A32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770015"/>
    <w:multiLevelType w:val="hybridMultilevel"/>
    <w:tmpl w:val="9D9851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B90B14"/>
    <w:multiLevelType w:val="multilevel"/>
    <w:tmpl w:val="453A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61C66"/>
    <w:multiLevelType w:val="hybridMultilevel"/>
    <w:tmpl w:val="3F0AD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601A8C"/>
    <w:multiLevelType w:val="multilevel"/>
    <w:tmpl w:val="453A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3"/>
  </w:num>
  <w:num w:numId="2">
    <w:abstractNumId w:val="25"/>
  </w:num>
  <w:num w:numId="3">
    <w:abstractNumId w:val="29"/>
  </w:num>
  <w:num w:numId="4">
    <w:abstractNumId w:val="12"/>
  </w:num>
  <w:num w:numId="5">
    <w:abstractNumId w:val="38"/>
  </w:num>
  <w:num w:numId="6">
    <w:abstractNumId w:val="6"/>
  </w:num>
  <w:num w:numId="7">
    <w:abstractNumId w:val="3"/>
  </w:num>
  <w:num w:numId="8">
    <w:abstractNumId w:val="0"/>
  </w:num>
  <w:num w:numId="9">
    <w:abstractNumId w:val="19"/>
  </w:num>
  <w:num w:numId="10">
    <w:abstractNumId w:val="35"/>
  </w:num>
  <w:num w:numId="11">
    <w:abstractNumId w:val="8"/>
  </w:num>
  <w:num w:numId="12">
    <w:abstractNumId w:val="5"/>
  </w:num>
  <w:num w:numId="13">
    <w:abstractNumId w:val="10"/>
  </w:num>
  <w:num w:numId="14">
    <w:abstractNumId w:val="1"/>
  </w:num>
  <w:num w:numId="15">
    <w:abstractNumId w:val="37"/>
  </w:num>
  <w:num w:numId="16">
    <w:abstractNumId w:val="24"/>
  </w:num>
  <w:num w:numId="17">
    <w:abstractNumId w:val="14"/>
  </w:num>
  <w:num w:numId="18">
    <w:abstractNumId w:val="39"/>
  </w:num>
  <w:num w:numId="19">
    <w:abstractNumId w:val="30"/>
  </w:num>
  <w:num w:numId="20">
    <w:abstractNumId w:val="34"/>
  </w:num>
  <w:num w:numId="21">
    <w:abstractNumId w:val="33"/>
  </w:num>
  <w:num w:numId="22">
    <w:abstractNumId w:val="36"/>
  </w:num>
  <w:num w:numId="23">
    <w:abstractNumId w:val="27"/>
  </w:num>
  <w:num w:numId="24">
    <w:abstractNumId w:val="13"/>
  </w:num>
  <w:num w:numId="25">
    <w:abstractNumId w:val="2"/>
  </w:num>
  <w:num w:numId="26">
    <w:abstractNumId w:val="32"/>
  </w:num>
  <w:num w:numId="27">
    <w:abstractNumId w:val="18"/>
  </w:num>
  <w:num w:numId="28">
    <w:abstractNumId w:val="16"/>
  </w:num>
  <w:num w:numId="29">
    <w:abstractNumId w:val="11"/>
  </w:num>
  <w:num w:numId="30">
    <w:abstractNumId w:val="26"/>
  </w:num>
  <w:num w:numId="31">
    <w:abstractNumId w:val="15"/>
  </w:num>
  <w:num w:numId="32">
    <w:abstractNumId w:val="28"/>
  </w:num>
  <w:num w:numId="33">
    <w:abstractNumId w:val="4"/>
  </w:num>
  <w:num w:numId="34">
    <w:abstractNumId w:val="20"/>
  </w:num>
  <w:num w:numId="35">
    <w:abstractNumId w:val="17"/>
  </w:num>
  <w:num w:numId="36">
    <w:abstractNumId w:val="22"/>
  </w:num>
  <w:num w:numId="37">
    <w:abstractNumId w:val="9"/>
  </w:num>
  <w:num w:numId="38">
    <w:abstractNumId w:val="21"/>
  </w:num>
  <w:num w:numId="39">
    <w:abstractNumId w:val="3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EB0"/>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A2412"/>
    <w:rsid w:val="001B09BD"/>
    <w:rsid w:val="001B52BE"/>
    <w:rsid w:val="001B6478"/>
    <w:rsid w:val="001C540A"/>
    <w:rsid w:val="001C62B6"/>
    <w:rsid w:val="001F7DC7"/>
    <w:rsid w:val="00216E98"/>
    <w:rsid w:val="00220A3C"/>
    <w:rsid w:val="00227AF7"/>
    <w:rsid w:val="002349C6"/>
    <w:rsid w:val="00236BDA"/>
    <w:rsid w:val="0024348F"/>
    <w:rsid w:val="002545C9"/>
    <w:rsid w:val="0026014A"/>
    <w:rsid w:val="00287A7A"/>
    <w:rsid w:val="002B1087"/>
    <w:rsid w:val="002C3C8E"/>
    <w:rsid w:val="002E01F3"/>
    <w:rsid w:val="002F5B10"/>
    <w:rsid w:val="003016EC"/>
    <w:rsid w:val="00305648"/>
    <w:rsid w:val="00322803"/>
    <w:rsid w:val="00333DFD"/>
    <w:rsid w:val="003404CA"/>
    <w:rsid w:val="00355B1C"/>
    <w:rsid w:val="003577A2"/>
    <w:rsid w:val="00396C15"/>
    <w:rsid w:val="003A41EC"/>
    <w:rsid w:val="003B02D9"/>
    <w:rsid w:val="003B0F77"/>
    <w:rsid w:val="003E244A"/>
    <w:rsid w:val="003E617B"/>
    <w:rsid w:val="00404476"/>
    <w:rsid w:val="004349E6"/>
    <w:rsid w:val="00444D88"/>
    <w:rsid w:val="00455B09"/>
    <w:rsid w:val="00462E1E"/>
    <w:rsid w:val="00463E45"/>
    <w:rsid w:val="00473430"/>
    <w:rsid w:val="00494071"/>
    <w:rsid w:val="004A334A"/>
    <w:rsid w:val="004B4583"/>
    <w:rsid w:val="004C3E3F"/>
    <w:rsid w:val="004E13D1"/>
    <w:rsid w:val="005015E4"/>
    <w:rsid w:val="00515909"/>
    <w:rsid w:val="00542CB3"/>
    <w:rsid w:val="00546872"/>
    <w:rsid w:val="005513EF"/>
    <w:rsid w:val="0055598E"/>
    <w:rsid w:val="0056504F"/>
    <w:rsid w:val="005652EA"/>
    <w:rsid w:val="005746E5"/>
    <w:rsid w:val="00592822"/>
    <w:rsid w:val="005B4958"/>
    <w:rsid w:val="005B5084"/>
    <w:rsid w:val="005B7D8B"/>
    <w:rsid w:val="005C5BCD"/>
    <w:rsid w:val="005D5259"/>
    <w:rsid w:val="005F4234"/>
    <w:rsid w:val="005F72B8"/>
    <w:rsid w:val="00622259"/>
    <w:rsid w:val="00622FA1"/>
    <w:rsid w:val="006238EF"/>
    <w:rsid w:val="006403F3"/>
    <w:rsid w:val="006411D4"/>
    <w:rsid w:val="00643B36"/>
    <w:rsid w:val="00661704"/>
    <w:rsid w:val="006723F1"/>
    <w:rsid w:val="00680E48"/>
    <w:rsid w:val="006A2167"/>
    <w:rsid w:val="006C033C"/>
    <w:rsid w:val="006C2150"/>
    <w:rsid w:val="006F3164"/>
    <w:rsid w:val="00721F70"/>
    <w:rsid w:val="00732267"/>
    <w:rsid w:val="00734E9B"/>
    <w:rsid w:val="0073794C"/>
    <w:rsid w:val="00744BAA"/>
    <w:rsid w:val="007528A3"/>
    <w:rsid w:val="007B169F"/>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2E3D"/>
    <w:rsid w:val="008F6F18"/>
    <w:rsid w:val="00913AF8"/>
    <w:rsid w:val="00935348"/>
    <w:rsid w:val="00936D8A"/>
    <w:rsid w:val="0094187E"/>
    <w:rsid w:val="009844D9"/>
    <w:rsid w:val="00987661"/>
    <w:rsid w:val="009A5419"/>
    <w:rsid w:val="009B080D"/>
    <w:rsid w:val="009C263A"/>
    <w:rsid w:val="009C7587"/>
    <w:rsid w:val="009E2891"/>
    <w:rsid w:val="009F089C"/>
    <w:rsid w:val="009F10E3"/>
    <w:rsid w:val="00A05BA7"/>
    <w:rsid w:val="00A229B4"/>
    <w:rsid w:val="00A23041"/>
    <w:rsid w:val="00A27D10"/>
    <w:rsid w:val="00A44D1F"/>
    <w:rsid w:val="00A76311"/>
    <w:rsid w:val="00A822DE"/>
    <w:rsid w:val="00AA1DDF"/>
    <w:rsid w:val="00AA7AC4"/>
    <w:rsid w:val="00AB43C6"/>
    <w:rsid w:val="00AB4BA4"/>
    <w:rsid w:val="00AF04FA"/>
    <w:rsid w:val="00AF1EE3"/>
    <w:rsid w:val="00AF7544"/>
    <w:rsid w:val="00B13E62"/>
    <w:rsid w:val="00B167B5"/>
    <w:rsid w:val="00B82725"/>
    <w:rsid w:val="00BB562E"/>
    <w:rsid w:val="00BD40EB"/>
    <w:rsid w:val="00C0249D"/>
    <w:rsid w:val="00C11737"/>
    <w:rsid w:val="00C36728"/>
    <w:rsid w:val="00C4599D"/>
    <w:rsid w:val="00C465C7"/>
    <w:rsid w:val="00C47743"/>
    <w:rsid w:val="00C518DE"/>
    <w:rsid w:val="00C543F5"/>
    <w:rsid w:val="00C61BAA"/>
    <w:rsid w:val="00C61D7E"/>
    <w:rsid w:val="00C67781"/>
    <w:rsid w:val="00C723F8"/>
    <w:rsid w:val="00C733E6"/>
    <w:rsid w:val="00C75987"/>
    <w:rsid w:val="00C83CF3"/>
    <w:rsid w:val="00CC32ED"/>
    <w:rsid w:val="00CC711C"/>
    <w:rsid w:val="00CC7349"/>
    <w:rsid w:val="00CD021C"/>
    <w:rsid w:val="00CD097F"/>
    <w:rsid w:val="00CD53E2"/>
    <w:rsid w:val="00CE6589"/>
    <w:rsid w:val="00CF5A1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971DD"/>
    <w:rsid w:val="00EA3911"/>
    <w:rsid w:val="00EB370A"/>
    <w:rsid w:val="00EC2549"/>
    <w:rsid w:val="00ED67C9"/>
    <w:rsid w:val="00EE2BE8"/>
    <w:rsid w:val="00EF2893"/>
    <w:rsid w:val="00EF491B"/>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23F22A5D-F1FF-4AF6-AA45-5C2AE6B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70A"/>
    <w:rPr>
      <w:sz w:val="20"/>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styleId="Funotenzeichen">
    <w:name w:val="footnote reference"/>
    <w:semiHidden/>
    <w:rsid w:val="0056504F"/>
    <w:rPr>
      <w:position w:val="6"/>
      <w:sz w:val="16"/>
    </w:rPr>
  </w:style>
  <w:style w:type="paragraph" w:styleId="Funotentext">
    <w:name w:val="footnote text"/>
    <w:basedOn w:val="Standard"/>
    <w:link w:val="FunotentextZchn"/>
    <w:semiHidden/>
    <w:rsid w:val="0056504F"/>
    <w:rPr>
      <w:rFonts w:ascii="Times New Roman" w:eastAsia="Times New Roman" w:hAnsi="Times New Roman" w:cs="Times New Roman"/>
      <w:szCs w:val="20"/>
    </w:rPr>
  </w:style>
  <w:style w:type="character" w:customStyle="1" w:styleId="FunotentextZchn">
    <w:name w:val="Fußnotentext Zchn"/>
    <w:basedOn w:val="Absatz-Standardschriftart"/>
    <w:link w:val="Funotentext"/>
    <w:semiHidden/>
    <w:rsid w:val="005650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35875820">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0120223">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3F77-5545-4C24-8478-8334850D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2014-02-27T14:31:00Z</cp:lastPrinted>
  <dcterms:created xsi:type="dcterms:W3CDTF">2020-10-09T12:37:00Z</dcterms:created>
  <dcterms:modified xsi:type="dcterms:W3CDTF">2020-10-09T12:38:00Z</dcterms:modified>
</cp:coreProperties>
</file>