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7D04F6F2" w14:textId="4AB734EA" w:rsidR="00BB6872" w:rsidRPr="00BB6872" w:rsidRDefault="00A91164" w:rsidP="00BB6872">
      <w:pPr>
        <w:rPr>
          <w:b/>
          <w:sz w:val="32"/>
        </w:rPr>
      </w:pPr>
      <w:r>
        <w:rPr>
          <w:b/>
          <w:sz w:val="32"/>
        </w:rPr>
        <w:t>Parabel in der Parabel</w:t>
      </w:r>
    </w:p>
    <w:p w14:paraId="59C65A3E" w14:textId="056684FB" w:rsidR="00F839B2" w:rsidRPr="00526F25" w:rsidRDefault="00A91164" w:rsidP="00BB6872">
      <w:pPr>
        <w:spacing w:afterLines="60" w:after="144"/>
        <w:rPr>
          <w:b/>
          <w:sz w:val="32"/>
        </w:rPr>
      </w:pPr>
      <w:r>
        <w:rPr>
          <w:sz w:val="28"/>
        </w:rPr>
        <w:t>Betrachtungen zur Parabelstruktur von</w:t>
      </w:r>
      <w:r w:rsidR="00BB6872">
        <w:rPr>
          <w:sz w:val="28"/>
        </w:rPr>
        <w:t xml:space="preserve"> Lessings „</w:t>
      </w:r>
      <w:r w:rsidR="00BB6872" w:rsidRPr="00BB6872">
        <w:rPr>
          <w:sz w:val="28"/>
        </w:rPr>
        <w:t>Nathan</w:t>
      </w:r>
      <w:r w:rsidR="00BB6872">
        <w:rPr>
          <w:sz w:val="28"/>
        </w:rPr>
        <w:t xml:space="preserve"> der Weise“</w:t>
      </w:r>
    </w:p>
    <w:p w14:paraId="05E01D60" w14:textId="77777777" w:rsidR="00526F25" w:rsidRDefault="00526F25" w:rsidP="00BB6872">
      <w:pPr>
        <w:spacing w:afterLines="60" w:after="144"/>
        <w:rPr>
          <w:sz w:val="22"/>
        </w:rPr>
        <w:sectPr w:rsidR="00526F25" w:rsidSect="00F839B2">
          <w:headerReference w:type="even" r:id="rId9"/>
          <w:headerReference w:type="default" r:id="rId10"/>
          <w:footerReference w:type="even" r:id="rId11"/>
          <w:footerReference w:type="default" r:id="rId12"/>
          <w:pgSz w:w="11900" w:h="16840"/>
          <w:pgMar w:top="1418" w:right="1418" w:bottom="1134" w:left="1418" w:header="709" w:footer="709" w:gutter="0"/>
          <w:cols w:space="708"/>
          <w:docGrid w:linePitch="360"/>
        </w:sectPr>
      </w:pPr>
    </w:p>
    <w:p w14:paraId="3990F534" w14:textId="77777777" w:rsidR="008377AE" w:rsidRPr="00572448" w:rsidRDefault="008377AE" w:rsidP="0005587A">
      <w:pPr>
        <w:spacing w:after="60"/>
        <w:rPr>
          <w:rFonts w:asciiTheme="majorHAnsi" w:hAnsiTheme="majorHAnsi"/>
          <w:b/>
          <w:sz w:val="2"/>
        </w:rPr>
      </w:pPr>
    </w:p>
    <w:p w14:paraId="0D8A800F" w14:textId="153F93F7" w:rsidR="00305AD5" w:rsidRDefault="00FB3A86" w:rsidP="0005587A">
      <w:pPr>
        <w:spacing w:after="60"/>
        <w:rPr>
          <w:sz w:val="22"/>
        </w:rPr>
      </w:pPr>
      <w:r w:rsidRPr="00FB3A86">
        <w:rPr>
          <w:sz w:val="22"/>
        </w:rPr>
        <w:t>Wenn von der Bedeutung einer Parabel in Lessings Drama Nathan der Weise die Rede ist, geht es meistens um seine Gestaltung der Ringparabel in der Mitte des Stücks (III,7 - Nathans Antwort für Saladin: Die Ringparabel ), mit der Nathan Saladins Frage nach der einzig wahren Religion beantwortet. Die Ringparabel gilt seit den Tagen des Lessings auch als Musterexemplar für die sogenannte didaktische Parabel, die sich ähnlich wie die Fabel in den Dienst der Vermittlung einer moralischen Lehre stellt. (→Die Parabelstruktur der Ringerzählung) Richtet man den Blick auf das Stückganze und seine didaktische Lehrhaftigkeit kann auch das ganze Drama als eine Art Parabel aufgefasst werden, "s</w:t>
      </w:r>
      <w:bookmarkStart w:id="0" w:name="_GoBack"/>
      <w:bookmarkEnd w:id="0"/>
      <w:r w:rsidRPr="00FB3A86">
        <w:rPr>
          <w:sz w:val="22"/>
        </w:rPr>
        <w:t>ofern es durch ein konkretes Beispiel eine moralische Lehre - über religiöse Toleranz vermittelt." (</w:t>
      </w:r>
      <w:proofErr w:type="spellStart"/>
      <w:r w:rsidRPr="00FB3A86">
        <w:rPr>
          <w:sz w:val="22"/>
        </w:rPr>
        <w:t>Nisbet</w:t>
      </w:r>
      <w:proofErr w:type="spellEnd"/>
      <w:r w:rsidRPr="00FB3A86">
        <w:rPr>
          <w:sz w:val="22"/>
        </w:rPr>
        <w:t xml:space="preserve"> 2008, S.789) Bei der Ringparabel, die Nathan dem Sultan vorträgt, handelt es sich daher um eine Parabel in der Parabel, wobei beide Parabeln eng aufeinander bezogen sind. "Sie verhalten sich", wie </w:t>
      </w:r>
      <w:proofErr w:type="spellStart"/>
      <w:r w:rsidRPr="00FB3A86">
        <w:rPr>
          <w:sz w:val="22"/>
        </w:rPr>
        <w:t>Nisbet</w:t>
      </w:r>
      <w:proofErr w:type="spellEnd"/>
      <w:r w:rsidRPr="00FB3A86">
        <w:rPr>
          <w:sz w:val="22"/>
        </w:rPr>
        <w:t xml:space="preserve"> (ebd.) fortführt, "wie das Allgemeine zum Besonderen oder wie die Theorie zur Praxis. Mit anderen Worten: Nathans Parabel ist das Destillat von Lessings späten Gedanken über die Ungreifbarkeit der religiösen Wahrheit und den Vorrang des moralischen Handels (wie schon im Testament Johannis), während die Haupthandlung einen besonderen Fall wirkungskräftigen moralischen Verhaltens darstellt; oder umgekehrt: die Haupthandlung liefert ein spezifisches Beispiel der Harmonie über die Religionsgrenzen hinweg, der Nathans Parabel weiterreichende Bedeutung verleiht." Dass man diesen Bezug umdrehen kann, liegt daran, dass sowohl die Haupthandlung wie auch die Handlung in der Ringparabel in dramatischer wie auch erzählerischer Form ein konkretes Bild liefern. Was Nathans Parabel aber von der Parabel der Haupthandlung unterscheidet, ist vor allem die Verwendung abstrakter Begriffe, welche die erforderlichen oder gewünschten Tugenden bezeichnet, "die Voraussetzung der religiösen Harmonie sind und ihr universale Bedeutung geben." (ebd.)</w:t>
      </w:r>
    </w:p>
    <w:p w14:paraId="34878DFA" w14:textId="77777777" w:rsidR="00FB3A86" w:rsidRPr="00FB3A86" w:rsidRDefault="00FB3A86" w:rsidP="00FB3A86">
      <w:pPr>
        <w:spacing w:after="60"/>
        <w:rPr>
          <w:sz w:val="22"/>
        </w:rPr>
      </w:pPr>
      <w:r w:rsidRPr="00FB3A86">
        <w:rPr>
          <w:sz w:val="22"/>
        </w:rPr>
        <w:t>Dazu kommt noch eine wichtige inhaltliche Funktion, die Nathans Parabel im Rahmen der Gesamtparabel erfüllt. Mit ihrer Hilfe gelingt es Nathan Saladin von einer religiösen Toleranz, die andere Bekenntnisse hinzunehmen in der Lage ist, zu einer Haltung zu bewegen, die ihn ermuntert, aktiv über die Grenzen der religiösen Andersartigkeit Verständnis und Freundschaft zu suchen und anzunehmen. So erfüllt die Parabelszene, von der Komposition des Dramas her betrachtet, den eigentlichen Wendepunkt (Peripetie) des dramatischen Geschehens, denn in dieser Szene kommen Nathans Weisheit und Saladins Macht als Sultan auf dem Weg vernünftiger Verständigung so zusammen, dass das Ganze einen positiven Ausgang nehmen kann, auch wenn die politische Situation, in der das Geschehen spielt, jederzeit auch noch für eine, in die Katastrophe führende Veränderung gut sein könnte. (vgl. ebd.)</w:t>
      </w:r>
    </w:p>
    <w:p w14:paraId="431C3775" w14:textId="79F07D43" w:rsidR="00FB3A86" w:rsidRDefault="00FB3A86" w:rsidP="00FB3A86">
      <w:pPr>
        <w:spacing w:after="60"/>
        <w:rPr>
          <w:sz w:val="22"/>
        </w:rPr>
      </w:pPr>
      <w:r w:rsidRPr="00FB3A86">
        <w:rPr>
          <w:sz w:val="22"/>
        </w:rPr>
        <w:t xml:space="preserve">Für </w:t>
      </w:r>
      <w:proofErr w:type="spellStart"/>
      <w:r w:rsidRPr="00FB3A86">
        <w:rPr>
          <w:sz w:val="22"/>
        </w:rPr>
        <w:t>Leisegang</w:t>
      </w:r>
      <w:proofErr w:type="spellEnd"/>
      <w:r w:rsidRPr="00FB3A86">
        <w:rPr>
          <w:sz w:val="22"/>
        </w:rPr>
        <w:t xml:space="preserve"> (1931/1984, S.126) stellt der Verlauf der dramatischen Handlung, die " aus einer menschlichem Erkennen undurchsichtigen Verwirrung, aus lauter Zufällen und Tücken des Schicksals" ein "wunderbar zweckmäßige(s) Geschehen vor den staunenden Augen des Lesers" (S.126) macht, letzten Endes eine Rechtfertigung Gottes, dar, eine Theodizee, die die Menschen scheinbar in sinnlose Zufälle stürze, ihnen unsägliches Leid zufüge und doch am Ende alles herrlich hinausführe, so dass selbst das Böse und die Bösen seinen Absichten dienen müssten.</w:t>
      </w:r>
    </w:p>
    <w:p w14:paraId="1B367BB9" w14:textId="77777777" w:rsidR="00FB3A86" w:rsidRDefault="00FB3A86" w:rsidP="00FB3A86">
      <w:pPr>
        <w:spacing w:after="60"/>
        <w:rPr>
          <w:sz w:val="22"/>
        </w:rPr>
      </w:pPr>
    </w:p>
    <w:p w14:paraId="14353ADB" w14:textId="2DF48ECB" w:rsidR="00FB3A86" w:rsidRDefault="00FB3A86" w:rsidP="00FB3A86">
      <w:pPr>
        <w:spacing w:after="60"/>
        <w:rPr>
          <w:sz w:val="22"/>
        </w:rPr>
      </w:pPr>
      <w:r>
        <w:rPr>
          <w:sz w:val="22"/>
        </w:rPr>
        <w:t>Quellen:</w:t>
      </w:r>
    </w:p>
    <w:p w14:paraId="591FA472" w14:textId="62766924" w:rsidR="00FB3A86" w:rsidRPr="00FB3A86" w:rsidRDefault="00FB3A86" w:rsidP="00FB3A86">
      <w:pPr>
        <w:pStyle w:val="Listenabsatz"/>
        <w:numPr>
          <w:ilvl w:val="0"/>
          <w:numId w:val="28"/>
        </w:numPr>
        <w:spacing w:after="60"/>
        <w:rPr>
          <w:sz w:val="22"/>
        </w:rPr>
      </w:pPr>
      <w:proofErr w:type="spellStart"/>
      <w:r w:rsidRPr="00FB3A86">
        <w:rPr>
          <w:sz w:val="22"/>
        </w:rPr>
        <w:t>Nisbet</w:t>
      </w:r>
      <w:proofErr w:type="spellEnd"/>
      <w:r w:rsidRPr="00FB3A86">
        <w:rPr>
          <w:sz w:val="22"/>
        </w:rPr>
        <w:t>, Hugh Barr (2008): Lessing. Eine Biographie, München: Beck 2008</w:t>
      </w:r>
    </w:p>
    <w:p w14:paraId="73AC75AC" w14:textId="5C8C6175" w:rsidR="00FB3A86" w:rsidRPr="00FB3A86" w:rsidRDefault="00FB3A86" w:rsidP="00FB3A86">
      <w:pPr>
        <w:pStyle w:val="Listenabsatz"/>
        <w:numPr>
          <w:ilvl w:val="0"/>
          <w:numId w:val="28"/>
        </w:numPr>
        <w:spacing w:after="60"/>
        <w:rPr>
          <w:sz w:val="22"/>
        </w:rPr>
      </w:pPr>
      <w:proofErr w:type="spellStart"/>
      <w:r w:rsidRPr="00FB3A86">
        <w:rPr>
          <w:sz w:val="22"/>
        </w:rPr>
        <w:t>Leisegang</w:t>
      </w:r>
      <w:proofErr w:type="spellEnd"/>
      <w:r w:rsidRPr="00FB3A86">
        <w:rPr>
          <w:sz w:val="22"/>
        </w:rPr>
        <w:t xml:space="preserve">, Hans (1931/1984): Nathan der Weise, in: Bohnen (Hg.) (1984) Lessings "Nathan der Weise", S.116-132 (ursprünglich in: </w:t>
      </w:r>
      <w:proofErr w:type="spellStart"/>
      <w:r w:rsidRPr="00FB3A86">
        <w:rPr>
          <w:sz w:val="22"/>
        </w:rPr>
        <w:t>Leisegang</w:t>
      </w:r>
      <w:proofErr w:type="spellEnd"/>
      <w:r w:rsidRPr="00FB3A86">
        <w:rPr>
          <w:sz w:val="22"/>
        </w:rPr>
        <w:t>, Hans (1931): Lessings Weltanschauung, Leipzig: Felix Meiner 1931, S.140-158)</w:t>
      </w:r>
    </w:p>
    <w:p w14:paraId="155F8A15" w14:textId="14A77717" w:rsidR="00305AD5" w:rsidRDefault="00305AD5" w:rsidP="0005587A">
      <w:pPr>
        <w:spacing w:after="60"/>
        <w:rPr>
          <w:rFonts w:asciiTheme="majorHAnsi" w:hAnsiTheme="majorHAnsi"/>
          <w:b/>
          <w:sz w:val="22"/>
        </w:rPr>
      </w:pPr>
      <w:r>
        <w:rPr>
          <w:rFonts w:asciiTheme="majorHAnsi" w:hAnsiTheme="majorHAnsi"/>
          <w:b/>
          <w:noProof/>
          <w:sz w:val="22"/>
        </w:rPr>
        <w:lastRenderedPageBreak/>
        <mc:AlternateContent>
          <mc:Choice Requires="wpc">
            <w:drawing>
              <wp:inline distT="0" distB="0" distL="0" distR="0" wp14:anchorId="77906313" wp14:editId="05BB190B">
                <wp:extent cx="5134708" cy="4656405"/>
                <wp:effectExtent l="0" t="0" r="889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Textfeld 10"/>
                        <wps:cNvSpPr txBox="1"/>
                        <wps:spPr>
                          <a:xfrm>
                            <a:off x="55660" y="315660"/>
                            <a:ext cx="4986047" cy="4279900"/>
                          </a:xfrm>
                          <a:prstGeom prst="rect">
                            <a:avLst/>
                          </a:prstGeom>
                          <a:solidFill>
                            <a:schemeClr val="lt1"/>
                          </a:solidFill>
                          <a:ln w="3810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6A27B7" w14:textId="77777777" w:rsidR="00305AD5" w:rsidRDefault="00305AD5"/>
                            <w:p w14:paraId="0C826991" w14:textId="77777777" w:rsidR="00305AD5" w:rsidRDefault="00305AD5"/>
                            <w:p w14:paraId="2F807F62" w14:textId="033390D4" w:rsidR="00305AD5" w:rsidRPr="00C861EC" w:rsidRDefault="009B03A1" w:rsidP="009B03A1">
                              <w:pPr>
                                <w:jc w:val="center"/>
                                <w:rPr>
                                  <w:rFonts w:ascii="Arial" w:hAnsi="Arial" w:cs="Arial"/>
                                  <w:sz w:val="22"/>
                                  <w:szCs w:val="20"/>
                                </w:rPr>
                              </w:pPr>
                              <w:r w:rsidRPr="00C861EC">
                                <w:rPr>
                                  <w:rFonts w:ascii="Arial" w:hAnsi="Arial" w:cs="Arial"/>
                                  <w:sz w:val="22"/>
                                  <w:szCs w:val="20"/>
                                </w:rPr>
                                <w:t xml:space="preserve">Eine moralische Lehre über religiöse Toleranz </w:t>
                              </w:r>
                              <w:r w:rsidRPr="00C861EC">
                                <w:rPr>
                                  <w:rFonts w:ascii="Arial" w:hAnsi="Arial" w:cs="Arial"/>
                                  <w:sz w:val="22"/>
                                  <w:szCs w:val="20"/>
                                </w:rPr>
                                <w:br/>
                                <w:t>wird auf der Bühne als Beispiel vorgeführt</w:t>
                              </w:r>
                              <w:r w:rsidR="003B57F4">
                                <w:rPr>
                                  <w:rFonts w:ascii="Arial" w:hAnsi="Arial" w:cs="Arial"/>
                                  <w:sz w:val="22"/>
                                  <w:szCs w:val="20"/>
                                </w:rPr>
                                <w:t>;</w:t>
                              </w:r>
                              <w:r w:rsidR="00305AD5" w:rsidRPr="00C861EC">
                                <w:rPr>
                                  <w:rFonts w:ascii="Arial" w:hAnsi="Arial" w:cs="Arial"/>
                                  <w:sz w:val="22"/>
                                  <w:szCs w:val="20"/>
                                </w:rPr>
                                <w:t xml:space="preserve"> </w:t>
                              </w:r>
                              <w:r w:rsidRPr="00C861EC">
                                <w:rPr>
                                  <w:rFonts w:ascii="Arial" w:hAnsi="Arial" w:cs="Arial"/>
                                  <w:sz w:val="22"/>
                                  <w:szCs w:val="20"/>
                                </w:rPr>
                                <w:br/>
                              </w:r>
                              <w:r w:rsidR="003B57F4">
                                <w:rPr>
                                  <w:rFonts w:ascii="Arial" w:hAnsi="Arial" w:cs="Arial"/>
                                  <w:sz w:val="22"/>
                                  <w:szCs w:val="20"/>
                                </w:rPr>
                                <w:t>sie beruht</w:t>
                              </w:r>
                              <w:r w:rsidR="00305AD5" w:rsidRPr="00C861EC">
                                <w:rPr>
                                  <w:rFonts w:ascii="Arial" w:hAnsi="Arial" w:cs="Arial"/>
                                  <w:sz w:val="22"/>
                                  <w:szCs w:val="20"/>
                                </w:rPr>
                                <w:t xml:space="preserve"> auf drei m</w:t>
                              </w:r>
                              <w:r w:rsidR="003B57F4">
                                <w:rPr>
                                  <w:rFonts w:ascii="Arial" w:hAnsi="Arial" w:cs="Arial"/>
                                  <w:sz w:val="22"/>
                                  <w:szCs w:val="20"/>
                                </w:rPr>
                                <w:t>oralisch bewundernswerten Taten:</w:t>
                              </w:r>
                            </w:p>
                            <w:p w14:paraId="0218A5DA" w14:textId="6E1AEED2" w:rsidR="00305AD5" w:rsidRPr="00C861EC" w:rsidRDefault="009B03A1" w:rsidP="009B03A1">
                              <w:pPr>
                                <w:pStyle w:val="Listenabsatz"/>
                                <w:numPr>
                                  <w:ilvl w:val="0"/>
                                  <w:numId w:val="25"/>
                                </w:numPr>
                                <w:rPr>
                                  <w:rFonts w:ascii="Calibri" w:hAnsi="Calibri"/>
                                  <w:sz w:val="24"/>
                                </w:rPr>
                              </w:pPr>
                              <w:r w:rsidRPr="00C861EC">
                                <w:rPr>
                                  <w:rFonts w:ascii="Calibri" w:hAnsi="Calibri"/>
                                  <w:sz w:val="24"/>
                                </w:rPr>
                                <w:t>Adoption Rechas durch Nathan</w:t>
                              </w:r>
                            </w:p>
                            <w:p w14:paraId="634BCD96" w14:textId="1A48EDBF" w:rsidR="009B03A1" w:rsidRPr="00C861EC" w:rsidRDefault="009B03A1" w:rsidP="009B03A1">
                              <w:pPr>
                                <w:pStyle w:val="Listenabsatz"/>
                                <w:numPr>
                                  <w:ilvl w:val="0"/>
                                  <w:numId w:val="25"/>
                                </w:numPr>
                                <w:rPr>
                                  <w:rFonts w:ascii="Calibri" w:hAnsi="Calibri"/>
                                  <w:sz w:val="24"/>
                                </w:rPr>
                              </w:pPr>
                              <w:r w:rsidRPr="00C861EC">
                                <w:rPr>
                                  <w:rFonts w:ascii="Calibri" w:hAnsi="Calibri"/>
                                  <w:sz w:val="24"/>
                                </w:rPr>
                                <w:t>Saladins Begnadigung des Tempelherrn</w:t>
                              </w:r>
                            </w:p>
                            <w:p w14:paraId="7AD56ACF" w14:textId="686F90C4" w:rsidR="009B03A1" w:rsidRPr="00C861EC" w:rsidRDefault="009B03A1" w:rsidP="009B03A1">
                              <w:pPr>
                                <w:pStyle w:val="Listenabsatz"/>
                                <w:numPr>
                                  <w:ilvl w:val="0"/>
                                  <w:numId w:val="25"/>
                                </w:numPr>
                                <w:rPr>
                                  <w:rFonts w:ascii="Calibri" w:hAnsi="Calibri"/>
                                  <w:sz w:val="24"/>
                                </w:rPr>
                              </w:pPr>
                              <w:r w:rsidRPr="00C861EC">
                                <w:rPr>
                                  <w:rFonts w:ascii="Calibri" w:hAnsi="Calibri"/>
                                  <w:sz w:val="24"/>
                                </w:rPr>
                                <w:t>Rettung Rechas durch den Tempelherrn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742936" y="98474"/>
                            <a:ext cx="3561080" cy="521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B39CC" w14:textId="52A8C6F0" w:rsidR="00305AD5" w:rsidRPr="00C861EC" w:rsidRDefault="00305AD5" w:rsidP="00305AD5">
                              <w:pPr>
                                <w:jc w:val="center"/>
                                <w:rPr>
                                  <w:rFonts w:asciiTheme="majorHAnsi" w:hAnsiTheme="majorHAnsi"/>
                                  <w:b/>
                                  <w:sz w:val="28"/>
                                </w:rPr>
                              </w:pPr>
                              <w:r w:rsidRPr="00C861EC">
                                <w:rPr>
                                  <w:rFonts w:asciiTheme="majorHAnsi" w:hAnsiTheme="majorHAnsi"/>
                                  <w:b/>
                                  <w:sz w:val="28"/>
                                </w:rPr>
                                <w:t>Haupthandlung des analytischen Dramas</w:t>
                              </w:r>
                              <w:r w:rsidR="00C861EC" w:rsidRPr="00C861EC">
                                <w:rPr>
                                  <w:rFonts w:asciiTheme="majorHAnsi" w:hAnsiTheme="majorHAnsi"/>
                                  <w:b/>
                                  <w:sz w:val="28"/>
                                </w:rPr>
                                <w:t xml:space="preserve"> </w:t>
                              </w:r>
                              <w:r w:rsidR="00C861EC" w:rsidRPr="00C861EC">
                                <w:rPr>
                                  <w:rFonts w:asciiTheme="majorHAnsi" w:hAnsiTheme="majorHAnsi"/>
                                  <w:b/>
                                  <w:sz w:val="28"/>
                                </w:rPr>
                                <w:br/>
                                <w:t>als Parabel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781050" y="2265190"/>
                            <a:ext cx="3522980" cy="1841500"/>
                          </a:xfrm>
                          <a:prstGeom prst="rect">
                            <a:avLst/>
                          </a:prstGeom>
                          <a:solidFill>
                            <a:schemeClr val="lt1"/>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41BC28" w14:textId="77777777" w:rsidR="009B03A1" w:rsidRDefault="009B03A1"/>
                            <w:p w14:paraId="05CBB3AE" w14:textId="77777777" w:rsidR="009B03A1" w:rsidRDefault="009B03A1"/>
                            <w:p w14:paraId="72B8D1A8" w14:textId="0FEFD088" w:rsidR="009B03A1" w:rsidRPr="00C861EC" w:rsidRDefault="009B03A1" w:rsidP="009B03A1">
                              <w:pPr>
                                <w:pStyle w:val="Listenabsatz"/>
                                <w:numPr>
                                  <w:ilvl w:val="0"/>
                                  <w:numId w:val="27"/>
                                </w:numPr>
                                <w:rPr>
                                  <w:rFonts w:ascii="Arial" w:hAnsi="Arial" w:cs="Arial"/>
                                  <w:sz w:val="22"/>
                                  <w:szCs w:val="20"/>
                                </w:rPr>
                              </w:pPr>
                              <w:r w:rsidRPr="00C861EC">
                                <w:rPr>
                                  <w:rFonts w:ascii="Arial" w:hAnsi="Arial" w:cs="Arial"/>
                                  <w:sz w:val="22"/>
                                  <w:szCs w:val="20"/>
                                </w:rPr>
                                <w:t>Lessings Gedanken über die Ungreifbarkeit religiöser Wahrheit und den Vorrang moral</w:t>
                              </w:r>
                              <w:r w:rsidR="00103411" w:rsidRPr="00C861EC">
                                <w:rPr>
                                  <w:rFonts w:ascii="Arial" w:hAnsi="Arial" w:cs="Arial"/>
                                  <w:sz w:val="22"/>
                                  <w:szCs w:val="20"/>
                                </w:rPr>
                                <w:t>ischen Handelns gegenüber abstrakter Dogmatisierung von Wahrheiten</w:t>
                              </w:r>
                            </w:p>
                            <w:p w14:paraId="7E1FB297" w14:textId="6C6E4032" w:rsidR="00103411" w:rsidRPr="00C861EC" w:rsidRDefault="00103411" w:rsidP="009B03A1">
                              <w:pPr>
                                <w:pStyle w:val="Listenabsatz"/>
                                <w:numPr>
                                  <w:ilvl w:val="0"/>
                                  <w:numId w:val="27"/>
                                </w:numPr>
                                <w:rPr>
                                  <w:rFonts w:ascii="Arial" w:hAnsi="Arial" w:cs="Arial"/>
                                  <w:sz w:val="22"/>
                                  <w:szCs w:val="20"/>
                                </w:rPr>
                              </w:pPr>
                              <w:r w:rsidRPr="00C861EC">
                                <w:rPr>
                                  <w:rFonts w:ascii="Arial" w:hAnsi="Arial" w:cs="Arial"/>
                                  <w:sz w:val="22"/>
                                  <w:szCs w:val="20"/>
                                </w:rPr>
                                <w:t>Testament Johannis: "Kinderchen, liebt euch" als ideologiefreier, moralischer Kernsatz für moralisch richtiges und vernünftiges Handeln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1681027" y="2027950"/>
                            <a:ext cx="1665232" cy="539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AB3" w14:textId="5A0B7043" w:rsidR="009B03A1" w:rsidRPr="00C861EC" w:rsidRDefault="009B03A1" w:rsidP="00305AD5">
                              <w:pPr>
                                <w:jc w:val="center"/>
                                <w:rPr>
                                  <w:rFonts w:asciiTheme="majorHAnsi" w:hAnsiTheme="majorHAnsi"/>
                                  <w:sz w:val="28"/>
                                </w:rPr>
                              </w:pPr>
                              <w:r w:rsidRPr="00C861EC">
                                <w:rPr>
                                  <w:rFonts w:asciiTheme="majorHAnsi" w:hAnsiTheme="majorHAnsi"/>
                                  <w:b/>
                                  <w:sz w:val="28"/>
                                </w:rPr>
                                <w:t>Nathans Parabel</w:t>
                              </w:r>
                              <w:r w:rsidRPr="00C861EC">
                                <w:rPr>
                                  <w:rFonts w:asciiTheme="majorHAnsi" w:hAnsiTheme="majorHAnsi"/>
                                  <w:b/>
                                  <w:sz w:val="28"/>
                                </w:rPr>
                                <w:br/>
                              </w:r>
                              <w:r w:rsidRPr="00C861EC">
                                <w:rPr>
                                  <w:rFonts w:asciiTheme="majorHAnsi" w:hAnsiTheme="majorHAnsi"/>
                                  <w:sz w:val="28"/>
                                </w:rPr>
                                <w:t>(Ringparabel)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Gerade Verbindung mit Pfeil 17"/>
                        <wps:cNvCnPr/>
                        <wps:spPr>
                          <a:xfrm>
                            <a:off x="4362450" y="3008140"/>
                            <a:ext cx="635000" cy="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5" name="Gerade Verbindung mit Pfeil 15"/>
                        <wps:cNvCnPr/>
                        <wps:spPr>
                          <a:xfrm>
                            <a:off x="127000" y="3008140"/>
                            <a:ext cx="615950" cy="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6" name="Gerade Verbindung mit Pfeil 16"/>
                        <wps:cNvCnPr/>
                        <wps:spPr>
                          <a:xfrm>
                            <a:off x="2482803" y="1765190"/>
                            <a:ext cx="0" cy="263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8" name="Gerade Verbindung mit Pfeil 18"/>
                        <wps:cNvCnPr/>
                        <wps:spPr>
                          <a:xfrm>
                            <a:off x="2540000" y="4138440"/>
                            <a:ext cx="0" cy="39370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 name="Textfeld 2"/>
                        <wps:cNvSpPr txBox="1"/>
                        <wps:spPr>
                          <a:xfrm>
                            <a:off x="423325" y="1168106"/>
                            <a:ext cx="4258741" cy="596568"/>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B09771" w14:textId="77777777" w:rsidR="00FB3A86" w:rsidRDefault="00FB3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 o:spid="_x0000_s1026" editas="canvas" style="width:404.3pt;height:366.65pt;mso-position-horizontal-relative:char;mso-position-vertical-relative:line" coordsize="51346,4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46;height:46558;visibility:visible;mso-wrap-style:square">
                  <v:fill o:detectmouseclick="t"/>
                  <v:path o:connecttype="none"/>
                </v:shape>
                <v:shapetype id="_x0000_t202" coordsize="21600,21600" o:spt="202" path="m,l,21600r21600,l21600,xe">
                  <v:stroke joinstyle="miter"/>
                  <v:path gradientshapeok="t" o:connecttype="rect"/>
                </v:shapetype>
                <v:shape id="Textfeld 10" o:spid="_x0000_s1028" type="#_x0000_t202" style="position:absolute;left:556;top:3156;width:49861;height:4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lz8QA&#10;AADbAAAADwAAAGRycy9kb3ducmV2LnhtbESPQUvDQBCF70L/wzIFb3ajFQ1pt6WIgogXqweP0+w0&#10;CWZn08ymSf+9cxC8zfDevPfNejuF1pyplyayg9tFBoa4jL7hysHX58tNDkYSssc2Mjm4kMB2M7ta&#10;Y+HjyB903qfKaAhLgQ7qlLrCWilrCiiL2BGrdox9wKRrX1nf46jhobV3WfZgAzasDTV29FRT+bMf&#10;goN7ec5lKA/fl9Mk4/D2vnw85kvnrufTbgUm0ZT+zX/Xr17xlV5/0QH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15c/EAAAA2wAAAA8AAAAAAAAAAAAAAAAAmAIAAGRycy9k&#10;b3ducmV2LnhtbFBLBQYAAAAABAAEAPUAAACJAwAAAAA=&#10;" fillcolor="white [3201]" strokecolor="#8db3e2 [1311]" strokeweight="3pt">
                  <v:textbox>
                    <w:txbxContent>
                      <w:p w14:paraId="1D6A27B7" w14:textId="77777777" w:rsidR="00305AD5" w:rsidRDefault="00305AD5"/>
                      <w:p w14:paraId="0C826991" w14:textId="77777777" w:rsidR="00305AD5" w:rsidRDefault="00305AD5"/>
                      <w:p w14:paraId="2F807F62" w14:textId="033390D4" w:rsidR="00305AD5" w:rsidRPr="00C861EC" w:rsidRDefault="009B03A1" w:rsidP="009B03A1">
                        <w:pPr>
                          <w:jc w:val="center"/>
                          <w:rPr>
                            <w:rFonts w:ascii="Arial" w:hAnsi="Arial" w:cs="Arial"/>
                            <w:sz w:val="22"/>
                            <w:szCs w:val="20"/>
                          </w:rPr>
                        </w:pPr>
                        <w:r w:rsidRPr="00C861EC">
                          <w:rPr>
                            <w:rFonts w:ascii="Arial" w:hAnsi="Arial" w:cs="Arial"/>
                            <w:sz w:val="22"/>
                            <w:szCs w:val="20"/>
                          </w:rPr>
                          <w:t xml:space="preserve">Eine moralische Lehre über religiöse Toleranz </w:t>
                        </w:r>
                        <w:r w:rsidRPr="00C861EC">
                          <w:rPr>
                            <w:rFonts w:ascii="Arial" w:hAnsi="Arial" w:cs="Arial"/>
                            <w:sz w:val="22"/>
                            <w:szCs w:val="20"/>
                          </w:rPr>
                          <w:br/>
                          <w:t>wird auf der Bühne als Beispiel vorgeführt</w:t>
                        </w:r>
                        <w:r w:rsidR="003B57F4">
                          <w:rPr>
                            <w:rFonts w:ascii="Arial" w:hAnsi="Arial" w:cs="Arial"/>
                            <w:sz w:val="22"/>
                            <w:szCs w:val="20"/>
                          </w:rPr>
                          <w:t>;</w:t>
                        </w:r>
                        <w:r w:rsidR="00305AD5" w:rsidRPr="00C861EC">
                          <w:rPr>
                            <w:rFonts w:ascii="Arial" w:hAnsi="Arial" w:cs="Arial"/>
                            <w:sz w:val="22"/>
                            <w:szCs w:val="20"/>
                          </w:rPr>
                          <w:t xml:space="preserve"> </w:t>
                        </w:r>
                        <w:r w:rsidRPr="00C861EC">
                          <w:rPr>
                            <w:rFonts w:ascii="Arial" w:hAnsi="Arial" w:cs="Arial"/>
                            <w:sz w:val="22"/>
                            <w:szCs w:val="20"/>
                          </w:rPr>
                          <w:br/>
                        </w:r>
                        <w:r w:rsidR="003B57F4">
                          <w:rPr>
                            <w:rFonts w:ascii="Arial" w:hAnsi="Arial" w:cs="Arial"/>
                            <w:sz w:val="22"/>
                            <w:szCs w:val="20"/>
                          </w:rPr>
                          <w:t>sie beruht</w:t>
                        </w:r>
                        <w:r w:rsidR="00305AD5" w:rsidRPr="00C861EC">
                          <w:rPr>
                            <w:rFonts w:ascii="Arial" w:hAnsi="Arial" w:cs="Arial"/>
                            <w:sz w:val="22"/>
                            <w:szCs w:val="20"/>
                          </w:rPr>
                          <w:t xml:space="preserve"> auf drei m</w:t>
                        </w:r>
                        <w:r w:rsidR="003B57F4">
                          <w:rPr>
                            <w:rFonts w:ascii="Arial" w:hAnsi="Arial" w:cs="Arial"/>
                            <w:sz w:val="22"/>
                            <w:szCs w:val="20"/>
                          </w:rPr>
                          <w:t>oralisch bewundernswerten Taten:</w:t>
                        </w:r>
                      </w:p>
                      <w:p w14:paraId="0218A5DA" w14:textId="6E1AEED2" w:rsidR="00305AD5" w:rsidRPr="00C861EC" w:rsidRDefault="009B03A1" w:rsidP="009B03A1">
                        <w:pPr>
                          <w:pStyle w:val="Listenabsatz"/>
                          <w:numPr>
                            <w:ilvl w:val="0"/>
                            <w:numId w:val="25"/>
                          </w:numPr>
                          <w:rPr>
                            <w:rFonts w:ascii="Calibri" w:hAnsi="Calibri"/>
                            <w:sz w:val="24"/>
                          </w:rPr>
                        </w:pPr>
                        <w:r w:rsidRPr="00C861EC">
                          <w:rPr>
                            <w:rFonts w:ascii="Calibri" w:hAnsi="Calibri"/>
                            <w:sz w:val="24"/>
                          </w:rPr>
                          <w:t>Adoption Rechas durch Nathan</w:t>
                        </w:r>
                      </w:p>
                      <w:p w14:paraId="634BCD96" w14:textId="1A48EDBF" w:rsidR="009B03A1" w:rsidRPr="00C861EC" w:rsidRDefault="009B03A1" w:rsidP="009B03A1">
                        <w:pPr>
                          <w:pStyle w:val="Listenabsatz"/>
                          <w:numPr>
                            <w:ilvl w:val="0"/>
                            <w:numId w:val="25"/>
                          </w:numPr>
                          <w:rPr>
                            <w:rFonts w:ascii="Calibri" w:hAnsi="Calibri"/>
                            <w:sz w:val="24"/>
                          </w:rPr>
                        </w:pPr>
                        <w:r w:rsidRPr="00C861EC">
                          <w:rPr>
                            <w:rFonts w:ascii="Calibri" w:hAnsi="Calibri"/>
                            <w:sz w:val="24"/>
                          </w:rPr>
                          <w:t>Saladins Begnadigung des Tempelherrn</w:t>
                        </w:r>
                      </w:p>
                      <w:p w14:paraId="7AD56ACF" w14:textId="686F90C4" w:rsidR="009B03A1" w:rsidRPr="00C861EC" w:rsidRDefault="009B03A1" w:rsidP="009B03A1">
                        <w:pPr>
                          <w:pStyle w:val="Listenabsatz"/>
                          <w:numPr>
                            <w:ilvl w:val="0"/>
                            <w:numId w:val="25"/>
                          </w:numPr>
                          <w:rPr>
                            <w:rFonts w:ascii="Calibri" w:hAnsi="Calibri"/>
                            <w:sz w:val="24"/>
                          </w:rPr>
                        </w:pPr>
                        <w:r w:rsidRPr="00C861EC">
                          <w:rPr>
                            <w:rFonts w:ascii="Calibri" w:hAnsi="Calibri"/>
                            <w:sz w:val="24"/>
                          </w:rPr>
                          <w:t>Rettung Rechas durch den Tempelherrn</w:t>
                        </w:r>
                      </w:p>
                    </w:txbxContent>
                  </v:textbox>
                </v:shape>
                <v:shape id="Textfeld 11" o:spid="_x0000_s1029" type="#_x0000_t202" style="position:absolute;left:7429;top:984;width:35611;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0CBB39CC" w14:textId="52A8C6F0" w:rsidR="00305AD5" w:rsidRPr="00C861EC" w:rsidRDefault="00305AD5" w:rsidP="00305AD5">
                        <w:pPr>
                          <w:jc w:val="center"/>
                          <w:rPr>
                            <w:rFonts w:asciiTheme="majorHAnsi" w:hAnsiTheme="majorHAnsi"/>
                            <w:b/>
                            <w:sz w:val="28"/>
                          </w:rPr>
                        </w:pPr>
                        <w:r w:rsidRPr="00C861EC">
                          <w:rPr>
                            <w:rFonts w:asciiTheme="majorHAnsi" w:hAnsiTheme="majorHAnsi"/>
                            <w:b/>
                            <w:sz w:val="28"/>
                          </w:rPr>
                          <w:t>Haupthandlung des analytischen Dramas</w:t>
                        </w:r>
                        <w:r w:rsidR="00C861EC" w:rsidRPr="00C861EC">
                          <w:rPr>
                            <w:rFonts w:asciiTheme="majorHAnsi" w:hAnsiTheme="majorHAnsi"/>
                            <w:b/>
                            <w:sz w:val="28"/>
                          </w:rPr>
                          <w:t xml:space="preserve"> </w:t>
                        </w:r>
                        <w:r w:rsidR="00C861EC" w:rsidRPr="00C861EC">
                          <w:rPr>
                            <w:rFonts w:asciiTheme="majorHAnsi" w:hAnsiTheme="majorHAnsi"/>
                            <w:b/>
                            <w:sz w:val="28"/>
                          </w:rPr>
                          <w:br/>
                          <w:t>als Parabel</w:t>
                        </w:r>
                      </w:p>
                    </w:txbxContent>
                  </v:textbox>
                </v:shape>
                <v:shape id="Textfeld 12" o:spid="_x0000_s1030" type="#_x0000_t202" style="position:absolute;left:7810;top:22651;width:35230;height:18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gM8MA&#10;AADbAAAADwAAAGRycy9kb3ducmV2LnhtbERPTWvCQBC9C/0PyxS8iG6MaCV1FRUFiyetYI/T7DQJ&#10;ZmdjdjXx33eFQm/zeJ8zW7SmFHeqXWFZwXAQgSBOrS44U3D63PanIJxH1lhaJgUPcrCYv3RmmGjb&#10;8IHuR5+JEMIuQQW591UipUtzMugGtiIO3I+tDfoA60zqGpsQbkoZR9FEGiw4NORY0Tqn9HK8GQWr&#10;yfA8+hjHX9fVZXM92N73+K3ZK9V9bZfvIDy1/l/8597pMD+G5y/h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dgM8MAAADbAAAADwAAAAAAAAAAAAAAAACYAgAAZHJzL2Rv&#10;d25yZXYueG1sUEsFBgAAAAAEAAQA9QAAAIgDAAAAAA==&#10;" fillcolor="white [3201]" strokecolor="#e36c0a [2409]" strokeweight="2.25pt">
                  <v:textbox>
                    <w:txbxContent>
                      <w:p w14:paraId="3941BC28" w14:textId="77777777" w:rsidR="009B03A1" w:rsidRDefault="009B03A1"/>
                      <w:p w14:paraId="05CBB3AE" w14:textId="77777777" w:rsidR="009B03A1" w:rsidRDefault="009B03A1"/>
                      <w:p w14:paraId="72B8D1A8" w14:textId="0FEFD088" w:rsidR="009B03A1" w:rsidRPr="00C861EC" w:rsidRDefault="009B03A1" w:rsidP="009B03A1">
                        <w:pPr>
                          <w:pStyle w:val="Listenabsatz"/>
                          <w:numPr>
                            <w:ilvl w:val="0"/>
                            <w:numId w:val="27"/>
                          </w:numPr>
                          <w:rPr>
                            <w:rFonts w:ascii="Arial" w:hAnsi="Arial" w:cs="Arial"/>
                            <w:sz w:val="22"/>
                            <w:szCs w:val="20"/>
                          </w:rPr>
                        </w:pPr>
                        <w:r w:rsidRPr="00C861EC">
                          <w:rPr>
                            <w:rFonts w:ascii="Arial" w:hAnsi="Arial" w:cs="Arial"/>
                            <w:sz w:val="22"/>
                            <w:szCs w:val="20"/>
                          </w:rPr>
                          <w:t>Lessings Gedanken über die Ungreifbarkeit religiöser Wahrheit und den Vorrang moral</w:t>
                        </w:r>
                        <w:r w:rsidR="00103411" w:rsidRPr="00C861EC">
                          <w:rPr>
                            <w:rFonts w:ascii="Arial" w:hAnsi="Arial" w:cs="Arial"/>
                            <w:sz w:val="22"/>
                            <w:szCs w:val="20"/>
                          </w:rPr>
                          <w:t>ischen Handelns gegenüber abstrakter Dogmatisierung von Wahrheiten</w:t>
                        </w:r>
                      </w:p>
                      <w:p w14:paraId="7E1FB297" w14:textId="6C6E4032" w:rsidR="00103411" w:rsidRPr="00C861EC" w:rsidRDefault="00103411" w:rsidP="009B03A1">
                        <w:pPr>
                          <w:pStyle w:val="Listenabsatz"/>
                          <w:numPr>
                            <w:ilvl w:val="0"/>
                            <w:numId w:val="27"/>
                          </w:numPr>
                          <w:rPr>
                            <w:rFonts w:ascii="Arial" w:hAnsi="Arial" w:cs="Arial"/>
                            <w:sz w:val="22"/>
                            <w:szCs w:val="20"/>
                          </w:rPr>
                        </w:pPr>
                        <w:r w:rsidRPr="00C861EC">
                          <w:rPr>
                            <w:rFonts w:ascii="Arial" w:hAnsi="Arial" w:cs="Arial"/>
                            <w:sz w:val="22"/>
                            <w:szCs w:val="20"/>
                          </w:rPr>
                          <w:t>Testament Johannis: "Kinderchen, liebt euch" als ideologiefreier, moralischer Kernsatz für moralisch richtiges und vernünftiges Handeln</w:t>
                        </w:r>
                      </w:p>
                    </w:txbxContent>
                  </v:textbox>
                </v:shape>
                <v:shape id="Textfeld 14" o:spid="_x0000_s1031" type="#_x0000_t202" style="position:absolute;left:16810;top:20279;width:16652;height:5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2ABAAAB3" w14:textId="5A0B7043" w:rsidR="009B03A1" w:rsidRPr="00C861EC" w:rsidRDefault="009B03A1" w:rsidP="00305AD5">
                        <w:pPr>
                          <w:jc w:val="center"/>
                          <w:rPr>
                            <w:rFonts w:asciiTheme="majorHAnsi" w:hAnsiTheme="majorHAnsi"/>
                            <w:sz w:val="28"/>
                          </w:rPr>
                        </w:pPr>
                        <w:r w:rsidRPr="00C861EC">
                          <w:rPr>
                            <w:rFonts w:asciiTheme="majorHAnsi" w:hAnsiTheme="majorHAnsi"/>
                            <w:b/>
                            <w:sz w:val="28"/>
                          </w:rPr>
                          <w:t>Nathans Parabel</w:t>
                        </w:r>
                        <w:r w:rsidRPr="00C861EC">
                          <w:rPr>
                            <w:rFonts w:asciiTheme="majorHAnsi" w:hAnsiTheme="majorHAnsi"/>
                            <w:b/>
                            <w:sz w:val="28"/>
                          </w:rPr>
                          <w:br/>
                        </w:r>
                        <w:r w:rsidRPr="00C861EC">
                          <w:rPr>
                            <w:rFonts w:asciiTheme="majorHAnsi" w:hAnsiTheme="majorHAnsi"/>
                            <w:sz w:val="28"/>
                          </w:rPr>
                          <w:t>(Ringparabel)</w:t>
                        </w:r>
                      </w:p>
                    </w:txbxContent>
                  </v:textbox>
                </v:shape>
                <v:shapetype id="_x0000_t32" coordsize="21600,21600" o:spt="32" o:oned="t" path="m,l21600,21600e" filled="f">
                  <v:path arrowok="t" fillok="f" o:connecttype="none"/>
                  <o:lock v:ext="edit" shapetype="t"/>
                </v:shapetype>
                <v:shape id="Gerade Verbindung mit Pfeil 17" o:spid="_x0000_s1032" type="#_x0000_t32" style="position:absolute;left:43624;top:30081;width:6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AFWsEAAADbAAAADwAAAGRycy9kb3ducmV2LnhtbERPzWrCQBC+F3yHZQpeSt2o2JboKlpQ&#10;cgm0Jg8wZMckNDsbdrcmffuuIHibj+93NrvRdOJKzreWFcxnCQjiyuqWawVlcXz9AOEDssbOMin4&#10;Iw+77eRpg6m2A3/T9RxqEUPYp6igCaFPpfRVQwb9zPbEkbtYZzBE6GqpHQ4x3HRykSRv0mDLsaHB&#10;nj4bqn7Ov0bBIc+H8iVxX4tVyJbFqXV+QKfU9Hncr0EEGsNDfHdnOs5/h9sv8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QAVawQAAANsAAAAPAAAAAAAAAAAAAAAA&#10;AKECAABkcnMvZG93bnJldi54bWxQSwUGAAAAAAQABAD5AAAAjwMAAAAA&#10;" strokecolor="black [3200]" strokeweight="2pt">
                  <v:stroke startarrow="block" endarrow="block"/>
                  <v:shadow on="t" color="black" opacity="24903f" origin=",.5" offset="0,.55556mm"/>
                </v:shape>
                <v:shape id="Gerade Verbindung mit Pfeil 15" o:spid="_x0000_s1033" type="#_x0000_t32" style="position:absolute;left:1270;top:30081;width:6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4+tsEAAADbAAAADwAAAGRycy9kb3ducmV2LnhtbERPS2rDMBDdF3IHMYVsSiPXwaE4lkNa&#10;SPHG0HwOMFgT29QaGUmN3dtHhUJ383jfKXazGcSNnO8tK3hZJSCIG6t7bhVczofnVxA+IGscLJOC&#10;H/KwKxcPBebaTnyk2ym0Ioawz1FBF8KYS+mbjgz6lR2JI3e1zmCI0LVSO5xiuBlkmiQbabDn2NDh&#10;SO8dNV+nb6Pgra6ny1PiPtMsVOvzR+/8hE6p5eO834IINId/8Z+70nF+Br+/xANk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3j62wQAAANsAAAAPAAAAAAAAAAAAAAAA&#10;AKECAABkcnMvZG93bnJldi54bWxQSwUGAAAAAAQABAD5AAAAjwMAAAAA&#10;" strokecolor="black [3200]" strokeweight="2pt">
                  <v:stroke startarrow="block" endarrow="block"/>
                  <v:shadow on="t" color="black" opacity="24903f" origin=",.5" offset="0,.55556mm"/>
                </v:shape>
                <v:shape id="Gerade Verbindung mit Pfeil 16" o:spid="_x0000_s1034" type="#_x0000_t32" style="position:absolute;left:24828;top:17651;width:0;height:2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gwcEAAADbAAAADwAAAGRycy9kb3ducmV2LnhtbERP22rCQBB9F/oPyxT6InVjSkVSV1FB&#10;yUugXj5gyI5JMDsbdtck/Xu3UOjbHM51VpvRtKIn5xvLCuazBARxaXXDlYLr5fC+BOEDssbWMin4&#10;IQ+b9ctkhZm2A5+oP4dKxBD2GSqoQ+gyKX1Zk0E/sx1x5G7WGQwRukpqh0MMN61Mk2QhDTYcG2rs&#10;aF9TeT8/jIJdUQzXaeK+08+Qf1yOjfMDOqXeXsftF4hAY/gX/7lzHecv4PeXeI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KDBwQAAANsAAAAPAAAAAAAAAAAAAAAA&#10;AKECAABkcnMvZG93bnJldi54bWxQSwUGAAAAAAQABAD5AAAAjwMAAAAA&#10;" strokecolor="black [3200]" strokeweight="2pt">
                  <v:stroke startarrow="block" endarrow="block"/>
                  <v:shadow on="t" color="black" opacity="24903f" origin=",.5" offset="0,.55556mm"/>
                </v:shape>
                <v:shape id="Gerade Verbindung mit Pfeil 18" o:spid="_x0000_s1035" type="#_x0000_t32" style="position:absolute;left:25400;top:41384;width:0;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RKMQAAADbAAAADwAAAGRycy9kb3ducmV2LnhtbESPQWvDMAyF74P9B6PBLmN12tEysjph&#10;Haz0UmjT/gARa0lYLAfba9J/Px0KvUm8p/c+rcvJ9epCIXaeDcxnGSji2tuOGwPn0/frO6iYkC32&#10;nsnAlSKUxePDGnPrRz7SpUqNkhCOORpoUxpyrWPdksM48wOxaD8+OEyyhkbbgKOEu14vsmylHXYs&#10;DS0O9NVS/Vv9OQOb/X48v2ThsFim3dtp24U4YjDm+Wn6/ACVaEp38+16ZwVfYOUXGU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5EoxAAAANsAAAAPAAAAAAAAAAAA&#10;AAAAAKECAABkcnMvZG93bnJldi54bWxQSwUGAAAAAAQABAD5AAAAkgMAAAAA&#10;" strokecolor="black [3200]" strokeweight="2pt">
                  <v:stroke startarrow="block" endarrow="block"/>
                  <v:shadow on="t" color="black" opacity="24903f" origin=",.5" offset="0,.55556mm"/>
                </v:shape>
                <v:shape id="Textfeld 2" o:spid="_x0000_s1036" type="#_x0000_t202" style="position:absolute;left:4233;top:11681;width:42587;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bj8MA&#10;AADaAAAADwAAAGRycy9kb3ducmV2LnhtbESPQYvCMBSE7wv+h/AEL6JpBVepRhFR0T0srApeH82z&#10;rTYvpYla/70RhD0OM/MNM503phR3ql1hWUHcj0AQp1YXnCk4Hta9MQjnkTWWlknBkxzMZ62vKSba&#10;PviP7nufiQBhl6CC3PsqkdKlORl0fVsRB+9sa4M+yDqTusZHgJtSDqLoWxosOCzkWNEyp/S6vxkF&#10;3Xg1jH92FS5+h4fL+LS8jvRmpVSn3SwmIDw1/j/8aW+1ggG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fbj8MAAADaAAAADwAAAAAAAAAAAAAAAACYAgAAZHJzL2Rv&#10;d25yZXYueG1sUEsFBgAAAAAEAAQA9QAAAIgDAAAAAA==&#10;" fillcolor="white [3201]" strokecolor="#d8d8d8 [2732]" strokeweight=".5pt">
                  <v:textbox>
                    <w:txbxContent>
                      <w:p w14:paraId="3BB09771" w14:textId="77777777" w:rsidR="00FB3A86" w:rsidRDefault="00FB3A86"/>
                    </w:txbxContent>
                  </v:textbox>
                </v:shape>
                <w10:anchorlock/>
              </v:group>
            </w:pict>
          </mc:Fallback>
        </mc:AlternateContent>
      </w:r>
    </w:p>
    <w:p w14:paraId="0D40F7D0" w14:textId="1EC44CA7" w:rsidR="00305AD5" w:rsidRPr="00C861EC" w:rsidRDefault="00C861EC" w:rsidP="00C861EC">
      <w:pPr>
        <w:spacing w:after="60"/>
        <w:jc w:val="center"/>
        <w:rPr>
          <w:rFonts w:asciiTheme="majorHAnsi" w:hAnsiTheme="majorHAnsi"/>
          <w:sz w:val="22"/>
        </w:rPr>
      </w:pPr>
      <w:r w:rsidRPr="00C861EC">
        <w:rPr>
          <w:rFonts w:asciiTheme="majorHAnsi" w:hAnsiTheme="majorHAnsi"/>
          <w:sz w:val="22"/>
        </w:rPr>
        <w:t xml:space="preserve">(©Gert Egle/www.teachsam.de – lizensiert unter CC-BY-SA 4.0 International </w:t>
      </w:r>
      <w:r>
        <w:rPr>
          <w:rFonts w:asciiTheme="majorHAnsi" w:hAnsiTheme="majorHAnsi"/>
          <w:sz w:val="22"/>
        </w:rPr>
        <w:br/>
      </w:r>
      <w:r w:rsidRPr="00C861EC">
        <w:rPr>
          <w:rFonts w:asciiTheme="majorHAnsi" w:hAnsiTheme="majorHAnsi"/>
          <w:sz w:val="22"/>
        </w:rPr>
        <w:t>License, Namensnennung und Weitergabe unter gleichen Bedingungen)</w:t>
      </w:r>
    </w:p>
    <w:p w14:paraId="106F922D" w14:textId="77777777" w:rsidR="00305AD5" w:rsidRDefault="00305AD5" w:rsidP="0005587A">
      <w:pPr>
        <w:spacing w:after="60"/>
        <w:rPr>
          <w:rFonts w:asciiTheme="majorHAnsi" w:hAnsiTheme="majorHAnsi"/>
          <w:b/>
          <w:sz w:val="22"/>
        </w:rPr>
      </w:pPr>
    </w:p>
    <w:p w14:paraId="234770E3" w14:textId="77777777" w:rsidR="00305AD5" w:rsidRDefault="00305AD5" w:rsidP="0005587A">
      <w:pPr>
        <w:spacing w:after="60"/>
        <w:rPr>
          <w:rFonts w:asciiTheme="majorHAnsi" w:hAnsiTheme="majorHAnsi"/>
          <w:b/>
          <w:sz w:val="22"/>
        </w:rPr>
      </w:pPr>
    </w:p>
    <w:p w14:paraId="06C27236" w14:textId="77777777" w:rsidR="00305AD5" w:rsidRDefault="00305AD5" w:rsidP="0005587A">
      <w:pPr>
        <w:spacing w:after="60"/>
        <w:rPr>
          <w:rFonts w:asciiTheme="majorHAnsi" w:hAnsiTheme="majorHAnsi"/>
          <w:b/>
          <w:sz w:val="22"/>
        </w:rPr>
      </w:pPr>
    </w:p>
    <w:p w14:paraId="6CA42881" w14:textId="77777777" w:rsidR="00305AD5" w:rsidRDefault="00305AD5" w:rsidP="0005587A">
      <w:pPr>
        <w:spacing w:after="60"/>
        <w:rPr>
          <w:rFonts w:asciiTheme="majorHAnsi" w:hAnsiTheme="majorHAnsi"/>
          <w:b/>
          <w:sz w:val="22"/>
        </w:rPr>
      </w:pPr>
    </w:p>
    <w:p w14:paraId="6A1162E1" w14:textId="6F5B436C" w:rsidR="007E5B9C" w:rsidRDefault="007E5B9C" w:rsidP="0005587A">
      <w:pPr>
        <w:spacing w:after="60"/>
        <w:rPr>
          <w:rFonts w:asciiTheme="majorHAnsi" w:hAnsiTheme="majorHAnsi"/>
          <w:b/>
          <w:sz w:val="22"/>
        </w:rPr>
      </w:pPr>
      <w:r w:rsidRPr="00322B20">
        <w:rPr>
          <w:rFonts w:asciiTheme="majorHAnsi" w:hAnsiTheme="majorHAnsi"/>
          <w:b/>
          <w:sz w:val="22"/>
        </w:rPr>
        <w:t>Arbeitsanregungen:</w:t>
      </w:r>
      <w:r w:rsidR="00FB3A86">
        <w:rPr>
          <w:rFonts w:asciiTheme="majorHAnsi" w:hAnsiTheme="majorHAnsi"/>
          <w:b/>
          <w:sz w:val="22"/>
        </w:rPr>
        <w:br/>
      </w:r>
    </w:p>
    <w:p w14:paraId="7981B682" w14:textId="209B647C" w:rsidR="00526F25" w:rsidRPr="00FB3A86" w:rsidRDefault="00FB3A86" w:rsidP="00526F25">
      <w:pPr>
        <w:pStyle w:val="Listenabsatz"/>
        <w:numPr>
          <w:ilvl w:val="0"/>
          <w:numId w:val="23"/>
        </w:numPr>
        <w:rPr>
          <w:rFonts w:asciiTheme="majorHAnsi" w:hAnsiTheme="majorHAnsi"/>
          <w:sz w:val="22"/>
        </w:rPr>
      </w:pPr>
      <w:r w:rsidRPr="00FB3A86">
        <w:rPr>
          <w:rFonts w:asciiTheme="majorHAnsi" w:hAnsiTheme="majorHAnsi"/>
          <w:sz w:val="22"/>
        </w:rPr>
        <w:t>Erläutern Sie den Parabelcharakter des dramatischen Gedichts als Ganzes</w:t>
      </w:r>
      <w:proofErr w:type="gramStart"/>
      <w:r w:rsidRPr="00FB3A86">
        <w:rPr>
          <w:rFonts w:asciiTheme="majorHAnsi" w:hAnsiTheme="majorHAnsi"/>
          <w:sz w:val="22"/>
        </w:rPr>
        <w:t>.</w:t>
      </w:r>
      <w:r w:rsidR="00526F25" w:rsidRPr="00FB3A86">
        <w:rPr>
          <w:rFonts w:asciiTheme="majorHAnsi" w:hAnsiTheme="majorHAnsi"/>
          <w:sz w:val="22"/>
        </w:rPr>
        <w:t>.</w:t>
      </w:r>
      <w:proofErr w:type="gramEnd"/>
    </w:p>
    <w:p w14:paraId="0043953D" w14:textId="77777777" w:rsidR="00526F25" w:rsidRPr="00FB3A86" w:rsidRDefault="00526F25" w:rsidP="00526F25">
      <w:pPr>
        <w:pStyle w:val="Listenabsatz"/>
        <w:numPr>
          <w:ilvl w:val="0"/>
          <w:numId w:val="23"/>
        </w:numPr>
        <w:rPr>
          <w:rFonts w:asciiTheme="majorHAnsi" w:hAnsiTheme="majorHAnsi"/>
          <w:sz w:val="22"/>
        </w:rPr>
      </w:pPr>
      <w:r w:rsidRPr="00FB3A86">
        <w:rPr>
          <w:rFonts w:asciiTheme="majorHAnsi" w:hAnsiTheme="majorHAnsi"/>
          <w:sz w:val="22"/>
        </w:rPr>
        <w:t>Nehmen Sie Stellung.</w:t>
      </w:r>
    </w:p>
    <w:p w14:paraId="173EFB59" w14:textId="72DBF03C" w:rsidR="00D66179" w:rsidRPr="00B27675" w:rsidRDefault="00D66179" w:rsidP="00526F25"/>
    <w:sectPr w:rsidR="00D66179" w:rsidRPr="00B2767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E0BFB2A" w:rsidR="00227AF7" w:rsidRPr="003B0F77" w:rsidRDefault="00E11423"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16528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165289">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3249E"/>
    <w:multiLevelType w:val="hybridMultilevel"/>
    <w:tmpl w:val="E9E22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46200"/>
    <w:multiLevelType w:val="hybridMultilevel"/>
    <w:tmpl w:val="EEA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E2F43"/>
    <w:multiLevelType w:val="hybridMultilevel"/>
    <w:tmpl w:val="A6B4EB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3F681B"/>
    <w:multiLevelType w:val="hybridMultilevel"/>
    <w:tmpl w:val="51F6C6F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6">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5"/>
  </w:num>
  <w:num w:numId="4">
    <w:abstractNumId w:val="12"/>
  </w:num>
  <w:num w:numId="5">
    <w:abstractNumId w:val="21"/>
  </w:num>
  <w:num w:numId="6">
    <w:abstractNumId w:val="9"/>
  </w:num>
  <w:num w:numId="7">
    <w:abstractNumId w:val="11"/>
  </w:num>
  <w:num w:numId="8">
    <w:abstractNumId w:val="14"/>
  </w:num>
  <w:num w:numId="9">
    <w:abstractNumId w:val="3"/>
  </w:num>
  <w:num w:numId="10">
    <w:abstractNumId w:val="20"/>
  </w:num>
  <w:num w:numId="11">
    <w:abstractNumId w:val="23"/>
  </w:num>
  <w:num w:numId="12">
    <w:abstractNumId w:val="16"/>
  </w:num>
  <w:num w:numId="13">
    <w:abstractNumId w:val="8"/>
  </w:num>
  <w:num w:numId="14">
    <w:abstractNumId w:val="18"/>
  </w:num>
  <w:num w:numId="15">
    <w:abstractNumId w:val="13"/>
  </w:num>
  <w:num w:numId="16">
    <w:abstractNumId w:val="27"/>
  </w:num>
  <w:num w:numId="17">
    <w:abstractNumId w:val="15"/>
  </w:num>
  <w:num w:numId="18">
    <w:abstractNumId w:val="0"/>
  </w:num>
  <w:num w:numId="19">
    <w:abstractNumId w:val="10"/>
  </w:num>
  <w:num w:numId="20">
    <w:abstractNumId w:val="24"/>
  </w:num>
  <w:num w:numId="21">
    <w:abstractNumId w:val="4"/>
  </w:num>
  <w:num w:numId="22">
    <w:abstractNumId w:val="7"/>
  </w:num>
  <w:num w:numId="23">
    <w:abstractNumId w:val="26"/>
  </w:num>
  <w:num w:numId="24">
    <w:abstractNumId w:val="6"/>
  </w:num>
  <w:num w:numId="25">
    <w:abstractNumId w:val="25"/>
  </w:num>
  <w:num w:numId="26">
    <w:abstractNumId w:val="17"/>
  </w:num>
  <w:num w:numId="27">
    <w:abstractNumId w:val="2"/>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03411"/>
    <w:rsid w:val="00122AD4"/>
    <w:rsid w:val="00131A1C"/>
    <w:rsid w:val="00133B73"/>
    <w:rsid w:val="00142693"/>
    <w:rsid w:val="00153614"/>
    <w:rsid w:val="001572D3"/>
    <w:rsid w:val="00163429"/>
    <w:rsid w:val="00165289"/>
    <w:rsid w:val="0016718D"/>
    <w:rsid w:val="00167960"/>
    <w:rsid w:val="00183329"/>
    <w:rsid w:val="00192DAD"/>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C5"/>
    <w:rsid w:val="002B1087"/>
    <w:rsid w:val="002B6817"/>
    <w:rsid w:val="002C3C8E"/>
    <w:rsid w:val="002E01F3"/>
    <w:rsid w:val="002E1FAF"/>
    <w:rsid w:val="002F5B10"/>
    <w:rsid w:val="003016EC"/>
    <w:rsid w:val="00305648"/>
    <w:rsid w:val="00305AD5"/>
    <w:rsid w:val="00322803"/>
    <w:rsid w:val="00322B20"/>
    <w:rsid w:val="00333DFD"/>
    <w:rsid w:val="003404CA"/>
    <w:rsid w:val="00355B1C"/>
    <w:rsid w:val="003577A2"/>
    <w:rsid w:val="00396C15"/>
    <w:rsid w:val="00397A9D"/>
    <w:rsid w:val="003A41EC"/>
    <w:rsid w:val="003A4F55"/>
    <w:rsid w:val="003B02D9"/>
    <w:rsid w:val="003B0F77"/>
    <w:rsid w:val="003B57F4"/>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93E70"/>
    <w:rsid w:val="009A5419"/>
    <w:rsid w:val="009B03A1"/>
    <w:rsid w:val="009B080D"/>
    <w:rsid w:val="009B41AA"/>
    <w:rsid w:val="009C263A"/>
    <w:rsid w:val="009C7587"/>
    <w:rsid w:val="009D1C5C"/>
    <w:rsid w:val="009D7993"/>
    <w:rsid w:val="009E3D3F"/>
    <w:rsid w:val="009F089C"/>
    <w:rsid w:val="009F10E3"/>
    <w:rsid w:val="00A03276"/>
    <w:rsid w:val="00A056E5"/>
    <w:rsid w:val="00A05BA7"/>
    <w:rsid w:val="00A15AB8"/>
    <w:rsid w:val="00A229B4"/>
    <w:rsid w:val="00A27D10"/>
    <w:rsid w:val="00A329C7"/>
    <w:rsid w:val="00A44D1F"/>
    <w:rsid w:val="00A647FC"/>
    <w:rsid w:val="00A76311"/>
    <w:rsid w:val="00A773C0"/>
    <w:rsid w:val="00A822DE"/>
    <w:rsid w:val="00A91164"/>
    <w:rsid w:val="00AA1DDF"/>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861EC"/>
    <w:rsid w:val="00C944F8"/>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B3A86"/>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1D92-156A-445E-B64C-BADDE850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2014-09-25T15:14:00Z</cp:lastPrinted>
  <dcterms:created xsi:type="dcterms:W3CDTF">2014-09-25T15:13:00Z</dcterms:created>
  <dcterms:modified xsi:type="dcterms:W3CDTF">2014-09-25T15:26:00Z</dcterms:modified>
</cp:coreProperties>
</file>