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9712F5" w:rsidRDefault="007813CE" w:rsidP="000D5E21">
      <w:pPr>
        <w:pStyle w:val="berschrift1"/>
        <w:spacing w:after="0"/>
        <w:rPr>
          <w:rFonts w:ascii="Cambria" w:hAnsi="Cambria"/>
          <w:color w:val="000000" w:themeColor="text1"/>
        </w:rPr>
      </w:pPr>
      <w:bookmarkStart w:id="0" w:name="_Toc30345940"/>
      <w:bookmarkStart w:id="1" w:name="_GoBack"/>
      <w:r>
        <w:rPr>
          <w:rFonts w:ascii="Cambria" w:hAnsi="Cambria"/>
          <w:color w:val="548DD4" w:themeColor="text2" w:themeTint="99"/>
          <w:sz w:val="32"/>
        </w:rPr>
        <w:t>Frauen sind die besseren Zuhörer</w:t>
      </w:r>
      <w:r w:rsidR="009712F5">
        <w:rPr>
          <w:rFonts w:ascii="Cambria" w:hAnsi="Cambria"/>
          <w:color w:val="548DD4" w:themeColor="text2" w:themeTint="99"/>
          <w:sz w:val="32"/>
        </w:rPr>
        <w:br/>
      </w:r>
      <w:bookmarkEnd w:id="1"/>
      <w:r w:rsidR="003728A3">
        <w:rPr>
          <w:rFonts w:ascii="Cambria" w:hAnsi="Cambria"/>
          <w:color w:val="000000" w:themeColor="text1"/>
        </w:rPr>
        <w:t>Dominantes und kooperatives Verhalten von Männern und Frauen</w:t>
      </w:r>
    </w:p>
    <w:bookmarkEnd w:id="0"/>
    <w:p w:rsidR="00D06F63" w:rsidRDefault="004A59F2" w:rsidP="003728A3">
      <w:pPr>
        <w:pStyle w:val="StandardWeb"/>
        <w:spacing w:before="60" w:beforeAutospacing="0" w:after="6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In etlichen gesprächlinguistischen Untersuchungen ist mittlerweile übereinstimmend festgestellt worden, "dass Frauen bessere Zuhörerinnen sind. Sie initiieren sowohl in gleichgeschlechtlichen als auch gemischtgeschlechtlichen Gruppen signifikant häufiger Rückmeldungen al</w:t>
      </w:r>
      <w:r w:rsidRPr="00D06F63">
        <w:rPr>
          <w:rFonts w:asciiTheme="majorHAnsi" w:hAnsiTheme="majorHAnsi" w:cs="Arial"/>
          <w:sz w:val="22"/>
          <w:szCs w:val="20"/>
        </w:rPr>
        <w:t>s Männer." (Eigler 2002, S.182)</w:t>
      </w:r>
      <w:r w:rsidRPr="00D06F63">
        <w:rPr>
          <w:rFonts w:asciiTheme="majorHAnsi" w:hAnsiTheme="majorHAnsi" w:cs="Arial"/>
          <w:sz w:val="22"/>
          <w:szCs w:val="20"/>
        </w:rPr>
        <w:br/>
      </w:r>
      <w:r w:rsidRPr="00D06F63">
        <w:rPr>
          <w:rFonts w:asciiTheme="majorHAnsi" w:hAnsiTheme="majorHAnsi" w:cs="Arial"/>
          <w:sz w:val="22"/>
          <w:szCs w:val="20"/>
        </w:rPr>
        <w:t xml:space="preserve">Ihr Gesprächsverhalten ist eher responsiv als das der Männer, </w:t>
      </w:r>
      <w:r w:rsidRPr="00D06F63">
        <w:rPr>
          <w:rFonts w:asciiTheme="majorHAnsi" w:hAnsiTheme="majorHAnsi" w:cs="Arial"/>
          <w:sz w:val="22"/>
          <w:szCs w:val="20"/>
        </w:rPr>
        <w:t xml:space="preserve">d.h. </w:t>
      </w:r>
      <w:r w:rsidR="00D06F63" w:rsidRPr="00D06F63">
        <w:rPr>
          <w:rFonts w:asciiTheme="majorHAnsi" w:hAnsiTheme="majorHAnsi" w:cs="Arial"/>
          <w:sz w:val="22"/>
          <w:szCs w:val="20"/>
        </w:rPr>
        <w:t xml:space="preserve">sie gehen deutlich besser auf das ein, was ein Vorredner gesagt oder gemeint hat. Männer verhalten sich da, wissenschaftlich gesagt, </w:t>
      </w:r>
      <w:r w:rsidRPr="00D06F63">
        <w:rPr>
          <w:rFonts w:asciiTheme="majorHAnsi" w:hAnsiTheme="majorHAnsi" w:cs="Arial"/>
          <w:sz w:val="22"/>
          <w:szCs w:val="20"/>
        </w:rPr>
        <w:t>eher teil- bzw. nicht-responsiv</w:t>
      </w:r>
      <w:r w:rsidR="00D06F63" w:rsidRPr="00D06F63">
        <w:rPr>
          <w:rFonts w:asciiTheme="majorHAnsi" w:hAnsiTheme="majorHAnsi" w:cs="Arial"/>
          <w:sz w:val="22"/>
          <w:szCs w:val="20"/>
        </w:rPr>
        <w:t xml:space="preserve">, kümmern sich eher wenig oder gar nicht um das, was andere gesagt haben, wenn ihnen etwas auf der Zunge liegt. </w:t>
      </w:r>
      <w:r w:rsidR="00D06F63" w:rsidRPr="00D06F63">
        <w:rPr>
          <w:rFonts w:asciiTheme="majorHAnsi" w:hAnsiTheme="majorHAnsi" w:cs="Arial"/>
          <w:sz w:val="22"/>
          <w:szCs w:val="20"/>
        </w:rPr>
        <w:br/>
      </w:r>
      <w:r w:rsidRPr="00D06F63">
        <w:rPr>
          <w:rFonts w:asciiTheme="majorHAnsi" w:hAnsiTheme="majorHAnsi" w:cs="Arial"/>
          <w:sz w:val="22"/>
          <w:szCs w:val="20"/>
        </w:rPr>
        <w:t>Besonders bemerkenswert ist dabei die Tatsache, dass dies "für ganz unterschiedliche Kommunikationsbereiche" wie Diskussionsgruppen, politische Debatten, Gespräche unter Ehepaaren, Fernsehdiskussionen oder in Managementgruppen nachgewiesen werden konnte.</w:t>
      </w:r>
      <w:r w:rsidR="00D06F63" w:rsidRPr="00D06F63">
        <w:rPr>
          <w:rFonts w:asciiTheme="majorHAnsi" w:hAnsiTheme="majorHAnsi" w:cs="Arial"/>
          <w:sz w:val="22"/>
          <w:szCs w:val="20"/>
        </w:rPr>
        <w:t xml:space="preserve"> </w:t>
      </w:r>
    </w:p>
    <w:p w:rsidR="004A59F2" w:rsidRPr="00D06F63" w:rsidRDefault="00D06F63" w:rsidP="003728A3">
      <w:pPr>
        <w:pStyle w:val="StandardWeb"/>
        <w:spacing w:before="120" w:beforeAutospacing="0" w:after="6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 xml:space="preserve">Wenn Frauen und Männer in einer Gruppe miteinander diskutieren, dann neigen Männer bei gegengeschlechtlichen Interaktionen (Mann-Frau) zu </w:t>
      </w:r>
      <w:r w:rsidRPr="00D06F63">
        <w:rPr>
          <w:rFonts w:asciiTheme="majorHAnsi" w:hAnsiTheme="majorHAnsi" w:cs="Arial"/>
          <w:b/>
          <w:sz w:val="22"/>
          <w:szCs w:val="20"/>
        </w:rPr>
        <w:t>dominanten Sprechweisen</w:t>
      </w:r>
      <w:r w:rsidRPr="00D06F63">
        <w:rPr>
          <w:rFonts w:asciiTheme="majorHAnsi" w:hAnsiTheme="majorHAnsi" w:cs="Arial"/>
          <w:sz w:val="22"/>
          <w:szCs w:val="20"/>
        </w:rPr>
        <w:t xml:space="preserve"> (vgl. Eigler 2002, S.291):</w:t>
      </w:r>
    </w:p>
    <w:p w:rsidR="00D06F63" w:rsidRPr="00D06F63" w:rsidRDefault="00D06F63" w:rsidP="003728A3">
      <w:pPr>
        <w:pStyle w:val="StandardWeb"/>
        <w:spacing w:before="0" w:beforeAutospacing="0" w:after="6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b/>
          <w:bCs/>
          <w:sz w:val="22"/>
          <w:szCs w:val="20"/>
        </w:rPr>
        <w:t>Männer</w:t>
      </w:r>
    </w:p>
    <w:p w:rsidR="004A59F2" w:rsidRPr="00D06F63" w:rsidRDefault="004A59F2" w:rsidP="00D06F63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reden mehr und gewöhnlich länger als die Frauen.</w:t>
      </w:r>
    </w:p>
    <w:p w:rsidR="004A59F2" w:rsidRPr="00D06F63" w:rsidRDefault="004A59F2" w:rsidP="004A59F2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mischen sich stärker ein und drängeln sich in der Diskussion vor.</w:t>
      </w:r>
    </w:p>
    <w:p w:rsidR="004A59F2" w:rsidRPr="00D06F63" w:rsidRDefault="004A59F2" w:rsidP="004A59F2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wechseln häufiger auch ohne Absprache mit den anderen das Thema.</w:t>
      </w:r>
    </w:p>
    <w:p w:rsidR="004A59F2" w:rsidRPr="00D06F63" w:rsidRDefault="004A59F2" w:rsidP="004A59F2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stellen häufiger Fragen, die das Gespräch kontrollieren sollen.</w:t>
      </w:r>
    </w:p>
    <w:p w:rsidR="004A59F2" w:rsidRPr="00D06F63" w:rsidRDefault="004A59F2" w:rsidP="004A59F2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provozieren mehr mit Fragen und stellen häufiger Pseudofragen</w:t>
      </w:r>
    </w:p>
    <w:p w:rsidR="004A59F2" w:rsidRPr="00D06F63" w:rsidRDefault="004A59F2" w:rsidP="004A59F2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gehen weniger auf ihre Vorredner(innen) ein</w:t>
      </w:r>
    </w:p>
    <w:p w:rsidR="004A59F2" w:rsidRPr="00D06F63" w:rsidRDefault="004A59F2" w:rsidP="004A59F2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setzen häufiger "Verstärkungsmarker" ein, mit denen sie ihre konfrontativ kritische Bemerkungen, Abwertungen der Argumente ihres Gegenübers u. ä. verbal oder nonverbal bekräftigen wollen</w:t>
      </w:r>
    </w:p>
    <w:p w:rsidR="004A59F2" w:rsidRPr="00D06F63" w:rsidRDefault="004A59F2" w:rsidP="004A59F2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gebrauchen häufiger unmittelbar oder abgeschwächt direktive Formulierungen und Befehlsformen</w:t>
      </w:r>
    </w:p>
    <w:p w:rsidR="004A59F2" w:rsidRPr="00D06F63" w:rsidRDefault="004A59F2" w:rsidP="004A59F2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berufen sich in etwa gleich häufig auf eine Autorität</w:t>
      </w:r>
    </w:p>
    <w:p w:rsidR="004A59F2" w:rsidRPr="00D06F63" w:rsidRDefault="004A59F2" w:rsidP="003728A3">
      <w:pPr>
        <w:pStyle w:val="StandardWeb"/>
        <w:spacing w:before="120" w:beforeAutospacing="0" w:after="12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 xml:space="preserve">Bei </w:t>
      </w:r>
      <w:bookmarkStart w:id="2" w:name="kooperativem_Sprachverhalten"/>
      <w:r w:rsidRPr="00D06F63">
        <w:rPr>
          <w:rFonts w:asciiTheme="majorHAnsi" w:hAnsiTheme="majorHAnsi" w:cs="Arial"/>
          <w:b/>
          <w:bCs/>
          <w:sz w:val="22"/>
          <w:szCs w:val="20"/>
        </w:rPr>
        <w:t>kooperativem Sprachverhalten</w:t>
      </w:r>
      <w:bookmarkEnd w:id="2"/>
      <w:r w:rsidR="003728A3">
        <w:rPr>
          <w:rFonts w:asciiTheme="majorHAnsi" w:hAnsiTheme="majorHAnsi" w:cs="Arial"/>
          <w:b/>
          <w:bCs/>
          <w:sz w:val="22"/>
          <w:szCs w:val="20"/>
        </w:rPr>
        <w:t xml:space="preserve"> </w:t>
      </w:r>
      <w:r w:rsidR="003728A3" w:rsidRPr="003728A3">
        <w:rPr>
          <w:rFonts w:asciiTheme="majorHAnsi" w:hAnsiTheme="majorHAnsi" w:cs="Arial"/>
          <w:bCs/>
          <w:sz w:val="22"/>
          <w:szCs w:val="20"/>
        </w:rPr>
        <w:t>haben</w:t>
      </w:r>
      <w:r w:rsidRPr="003728A3">
        <w:rPr>
          <w:rFonts w:asciiTheme="majorHAnsi" w:hAnsiTheme="majorHAnsi" w:cs="Arial"/>
          <w:sz w:val="22"/>
          <w:szCs w:val="20"/>
        </w:rPr>
        <w:t xml:space="preserve"> </w:t>
      </w:r>
      <w:r w:rsidRPr="00D06F63">
        <w:rPr>
          <w:rFonts w:asciiTheme="majorHAnsi" w:hAnsiTheme="majorHAnsi" w:cs="Arial"/>
          <w:sz w:val="22"/>
          <w:szCs w:val="20"/>
        </w:rPr>
        <w:t>dagegen</w:t>
      </w:r>
      <w:r w:rsidR="003728A3">
        <w:rPr>
          <w:rFonts w:asciiTheme="majorHAnsi" w:hAnsiTheme="majorHAnsi" w:cs="Arial"/>
          <w:sz w:val="22"/>
          <w:szCs w:val="20"/>
        </w:rPr>
        <w:t xml:space="preserve"> eindeutig Frauen ihre Stärken</w:t>
      </w:r>
      <w:r w:rsidRPr="00D06F63">
        <w:rPr>
          <w:rFonts w:asciiTheme="majorHAnsi" w:hAnsiTheme="majorHAnsi" w:cs="Arial"/>
          <w:sz w:val="22"/>
          <w:szCs w:val="20"/>
        </w:rPr>
        <w:t xml:space="preserve"> (vgl. </w:t>
      </w:r>
      <w:r w:rsidR="00D06F63" w:rsidRPr="00D06F63">
        <w:rPr>
          <w:rFonts w:asciiTheme="majorHAnsi" w:hAnsiTheme="majorHAnsi" w:cs="Arial"/>
          <w:sz w:val="22"/>
          <w:szCs w:val="20"/>
        </w:rPr>
        <w:t>Eigler 2002,</w:t>
      </w:r>
      <w:r w:rsidRPr="00D06F63">
        <w:rPr>
          <w:rFonts w:asciiTheme="majorHAnsi" w:hAnsiTheme="majorHAnsi" w:cs="Arial"/>
          <w:sz w:val="22"/>
          <w:szCs w:val="20"/>
        </w:rPr>
        <w:t xml:space="preserve"> S.292):</w:t>
      </w:r>
    </w:p>
    <w:p w:rsidR="00D06F63" w:rsidRPr="00D06F63" w:rsidRDefault="00D06F63" w:rsidP="003728A3">
      <w:pPr>
        <w:pStyle w:val="StandardWeb"/>
        <w:spacing w:before="0" w:beforeAutospacing="0" w:after="6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b/>
          <w:bCs/>
          <w:sz w:val="22"/>
          <w:szCs w:val="20"/>
        </w:rPr>
        <w:t>Frauen</w:t>
      </w:r>
    </w:p>
    <w:p w:rsidR="004A59F2" w:rsidRPr="00D06F63" w:rsidRDefault="004A59F2" w:rsidP="00D06F63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fragen eher nach</w:t>
      </w:r>
    </w:p>
    <w:p w:rsidR="004A59F2" w:rsidRPr="00D06F63" w:rsidRDefault="004A59F2" w:rsidP="004A59F2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stellen häufiger kooperative Fragen</w:t>
      </w:r>
    </w:p>
    <w:p w:rsidR="004A59F2" w:rsidRPr="00D06F63" w:rsidRDefault="004A59F2" w:rsidP="004A59F2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formulieren häufiger Fragen, die andere auffordern, ihre jeweilige Meinung kundzutun</w:t>
      </w:r>
    </w:p>
    <w:p w:rsidR="004A59F2" w:rsidRPr="00D06F63" w:rsidRDefault="004A59F2" w:rsidP="004A59F2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stellen häufiger Hörerfragen und Sprecherrückfragen</w:t>
      </w:r>
    </w:p>
    <w:p w:rsidR="004A59F2" w:rsidRPr="00D06F63" w:rsidRDefault="004A59F2" w:rsidP="004A59F2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geben mehr positive Hörerrückmeldungen</w:t>
      </w:r>
    </w:p>
    <w:p w:rsidR="004A59F2" w:rsidRPr="00D06F63" w:rsidRDefault="004A59F2" w:rsidP="004A59F2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bestätigen andere Sprecher häufiger mit Ein-Wort-Äußerungen</w:t>
      </w:r>
    </w:p>
    <w:p w:rsidR="004A59F2" w:rsidRPr="00D06F63" w:rsidRDefault="004A59F2" w:rsidP="004A59F2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lachen oder lächeln häufiger zur Rückmeldung</w:t>
      </w:r>
    </w:p>
    <w:p w:rsidR="004A59F2" w:rsidRPr="00D06F63" w:rsidRDefault="004A59F2" w:rsidP="004A59F2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>bieten anderen Sprechern häufiger Hilfen beim Formulieren</w:t>
      </w:r>
    </w:p>
    <w:p w:rsidR="004A59F2" w:rsidRPr="00D06F63" w:rsidRDefault="004A59F2" w:rsidP="00D06F63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Arial"/>
          <w:sz w:val="22"/>
          <w:szCs w:val="20"/>
        </w:rPr>
      </w:pPr>
      <w:r w:rsidRPr="00D06F63">
        <w:rPr>
          <w:rFonts w:asciiTheme="majorHAnsi" w:hAnsiTheme="majorHAnsi" w:cs="Arial"/>
          <w:sz w:val="22"/>
          <w:szCs w:val="20"/>
        </w:rPr>
        <w:t xml:space="preserve">drücken mit </w:t>
      </w:r>
      <w:r w:rsidR="00D06F63" w:rsidRPr="00D06F63">
        <w:rPr>
          <w:rFonts w:asciiTheme="majorHAnsi" w:hAnsiTheme="majorHAnsi" w:cs="Arial"/>
          <w:sz w:val="22"/>
          <w:szCs w:val="20"/>
        </w:rPr>
        <w:t xml:space="preserve">Interjektionen </w:t>
      </w:r>
      <w:r w:rsidRPr="00D06F63">
        <w:rPr>
          <w:rFonts w:asciiTheme="majorHAnsi" w:hAnsiTheme="majorHAnsi" w:cs="Arial"/>
          <w:sz w:val="22"/>
          <w:szCs w:val="20"/>
        </w:rPr>
        <w:t>oder Ausrufen häufiger ihre emotionale Beteiligung und Anteilnah</w:t>
      </w:r>
      <w:r w:rsidR="00D06F63">
        <w:rPr>
          <w:rFonts w:asciiTheme="majorHAnsi" w:hAnsiTheme="majorHAnsi" w:cs="Arial"/>
          <w:sz w:val="22"/>
          <w:szCs w:val="20"/>
        </w:rPr>
        <w:t>me aus</w:t>
      </w:r>
    </w:p>
    <w:p w:rsidR="009712F5" w:rsidRPr="003728A3" w:rsidRDefault="003728A3" w:rsidP="003728A3">
      <w:pPr>
        <w:spacing w:before="60" w:after="60" w:line="240" w:lineRule="auto"/>
      </w:pPr>
      <w:r w:rsidRPr="003728A3">
        <w:t xml:space="preserve">Quelle: </w:t>
      </w:r>
      <w:r w:rsidRPr="003728A3">
        <w:rPr>
          <w:bCs/>
        </w:rPr>
        <w:t>Eigler, Friederike (2002 )</w:t>
      </w:r>
      <w:r w:rsidRPr="003728A3">
        <w:t>: Frauen und Männer im Gespräch: Eine empirische Untersuchung des Kommunikationsverhaltens von nordamerikanischen Studentinnen und Studenten, Marburg: Tectum Wissenschaftsverlag 2002</w:t>
      </w:r>
    </w:p>
    <w:p w:rsidR="00283D35" w:rsidRDefault="00C93FA1" w:rsidP="003728A3">
      <w:pPr>
        <w:spacing w:before="120" w:after="60"/>
        <w:rPr>
          <w:b/>
        </w:rPr>
      </w:pPr>
      <w:r>
        <w:rPr>
          <w:b/>
        </w:rPr>
        <w:t>Arbeitsanregun</w:t>
      </w:r>
      <w:r w:rsidR="009712F5">
        <w:rPr>
          <w:b/>
        </w:rPr>
        <w:t>gen</w:t>
      </w:r>
      <w:r>
        <w:rPr>
          <w:b/>
        </w:rPr>
        <w:t xml:space="preserve">: </w:t>
      </w:r>
    </w:p>
    <w:p w:rsidR="00283D35" w:rsidRDefault="003728A3" w:rsidP="00283D35">
      <w:pPr>
        <w:pStyle w:val="Listenabsatz"/>
        <w:numPr>
          <w:ilvl w:val="0"/>
          <w:numId w:val="13"/>
        </w:numPr>
      </w:pPr>
      <w:r>
        <w:t>Nehmen Sie zu den Forschungsergebnissen aufgrund eigener Erfahrungen Stellung.</w:t>
      </w:r>
    </w:p>
    <w:p w:rsidR="00607BFF" w:rsidRDefault="003728A3" w:rsidP="003728A3">
      <w:pPr>
        <w:pStyle w:val="Listenabsatz"/>
        <w:numPr>
          <w:ilvl w:val="0"/>
          <w:numId w:val="13"/>
        </w:numPr>
      </w:pPr>
      <w:r>
        <w:t>Worauf führen Sie die Unterschiede zurück?</w:t>
      </w:r>
    </w:p>
    <w:sectPr w:rsidR="00607BFF" w:rsidSect="00A204EF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397833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61916333"/>
        <w:docPartObj>
          <w:docPartGallery w:val="Page Numbers (Margins)"/>
          <w:docPartUnique/>
        </w:docPartObj>
      </w:sdtPr>
      <w:sdtContent>
        <w:r w:rsidRPr="00397833">
          <w:rPr>
            <w:rFonts w:asciiTheme="majorHAnsi" w:hAnsiTheme="majorHAnsi"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Rechtec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833" w:rsidRDefault="0039783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E5A1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0" o:spid="_x0000_s1026" style="position:absolute;left:0;text-align:left;margin-left:6.1pt;margin-top:0;width:57.3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U4gQIAAAY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UyNU4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397833" w:rsidRDefault="0039783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E5A1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97B21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B21"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 w:rsidR="00897B21">
      <w:rPr>
        <w:rFonts w:asciiTheme="majorHAnsi" w:hAnsiTheme="majorHAnsi"/>
        <w:sz w:val="20"/>
      </w:rPr>
      <w:t xml:space="preserve">     </w:t>
    </w:r>
    <w:r w:rsidR="00897B21"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5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1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60AF6462"/>
    <w:multiLevelType w:val="multilevel"/>
    <w:tmpl w:val="952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36055"/>
    <w:multiLevelType w:val="multilevel"/>
    <w:tmpl w:val="CB1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53F39"/>
    <w:rsid w:val="00074F4B"/>
    <w:rsid w:val="000D5E21"/>
    <w:rsid w:val="001A19EC"/>
    <w:rsid w:val="00283D35"/>
    <w:rsid w:val="00297F75"/>
    <w:rsid w:val="002D24A7"/>
    <w:rsid w:val="002E5557"/>
    <w:rsid w:val="003728A3"/>
    <w:rsid w:val="00397833"/>
    <w:rsid w:val="003C1203"/>
    <w:rsid w:val="003D2C3A"/>
    <w:rsid w:val="0045146F"/>
    <w:rsid w:val="004A59F2"/>
    <w:rsid w:val="004E5E5F"/>
    <w:rsid w:val="004F00A4"/>
    <w:rsid w:val="005E76F8"/>
    <w:rsid w:val="00607BFF"/>
    <w:rsid w:val="007813CE"/>
    <w:rsid w:val="007C661F"/>
    <w:rsid w:val="00870709"/>
    <w:rsid w:val="00897B21"/>
    <w:rsid w:val="008C01DC"/>
    <w:rsid w:val="009712F5"/>
    <w:rsid w:val="00A204EF"/>
    <w:rsid w:val="00AE5A1F"/>
    <w:rsid w:val="00B81F2C"/>
    <w:rsid w:val="00B973AA"/>
    <w:rsid w:val="00C63866"/>
    <w:rsid w:val="00C93FA1"/>
    <w:rsid w:val="00CA7510"/>
    <w:rsid w:val="00D06F63"/>
    <w:rsid w:val="00D453BE"/>
    <w:rsid w:val="00E55B3E"/>
    <w:rsid w:val="00E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089B-836D-45D0-8383-9AB8C0AD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Microsoft-Konto</cp:lastModifiedBy>
  <cp:revision>5</cp:revision>
  <cp:lastPrinted>2015-02-11T11:30:00Z</cp:lastPrinted>
  <dcterms:created xsi:type="dcterms:W3CDTF">2015-02-11T11:03:00Z</dcterms:created>
  <dcterms:modified xsi:type="dcterms:W3CDTF">2015-02-11T11:50:00Z</dcterms:modified>
</cp:coreProperties>
</file>