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8580" w14:textId="63BA6B9B" w:rsidR="00DD7538" w:rsidRPr="00DD7538" w:rsidRDefault="00DD7538" w:rsidP="0075251F">
      <w:pPr>
        <w:pStyle w:val="StandardWeb"/>
        <w:spacing w:before="0" w:beforeAutospacing="0" w:after="120" w:afterAutospacing="0"/>
        <w:rPr>
          <w:rFonts w:asciiTheme="minorHAnsi" w:hAnsiTheme="minorHAnsi" w:cs="Arial"/>
          <w:b/>
          <w:bCs/>
          <w:color w:val="1F497D" w:themeColor="text2"/>
          <w:sz w:val="32"/>
          <w:szCs w:val="32"/>
        </w:rPr>
      </w:pPr>
      <w:r w:rsidRPr="00DD7538">
        <w:rPr>
          <w:rFonts w:asciiTheme="minorHAnsi" w:hAnsiTheme="minorHAnsi" w:cs="Arial"/>
          <w:b/>
          <w:bCs/>
          <w:color w:val="1F497D" w:themeColor="text2"/>
          <w:sz w:val="32"/>
          <w:szCs w:val="32"/>
        </w:rPr>
        <w:t>Grundtypen des Sonetts</w:t>
      </w:r>
    </w:p>
    <w:p w14:paraId="5011B244" w14:textId="4030648C" w:rsidR="00155AA4" w:rsidRPr="00DD7538" w:rsidRDefault="00155AA4" w:rsidP="0063330F">
      <w:pPr>
        <w:pStyle w:val="StandardWeb"/>
        <w:spacing w:before="120" w:beforeAutospacing="0" w:after="180" w:afterAutospacing="0"/>
        <w:rPr>
          <w:rFonts w:ascii="Cambria" w:hAnsi="Cambria" w:cs="Arial"/>
          <w:sz w:val="22"/>
          <w:szCs w:val="22"/>
        </w:rPr>
      </w:pPr>
      <w:r w:rsidRPr="00DD7538">
        <w:rPr>
          <w:rFonts w:ascii="Cambria" w:hAnsi="Cambria" w:cs="Arial"/>
          <w:sz w:val="22"/>
          <w:szCs w:val="22"/>
        </w:rPr>
        <w:t xml:space="preserve">Die lyrische Form des  Sonetts (ital. sonetto = kleiner Tonsatz von lat. sonare = klingen) ist ein Reimgedicht mit einer bestimmten Strophenform.  </w:t>
      </w:r>
    </w:p>
    <w:p w14:paraId="51F0BDAF" w14:textId="7D876ADA" w:rsidR="00155AA4" w:rsidRPr="00DD7538" w:rsidRDefault="00155AA4" w:rsidP="00DD7538">
      <w:pPr>
        <w:pStyle w:val="StandardWeb"/>
        <w:numPr>
          <w:ilvl w:val="0"/>
          <w:numId w:val="26"/>
        </w:numPr>
        <w:spacing w:before="60" w:beforeAutospacing="0" w:after="0" w:afterAutospacing="0"/>
        <w:rPr>
          <w:rFonts w:ascii="Cambria" w:hAnsi="Cambria" w:cs="Arial"/>
          <w:sz w:val="22"/>
          <w:szCs w:val="22"/>
        </w:rPr>
      </w:pPr>
      <w:r w:rsidRPr="00DD7538">
        <w:rPr>
          <w:rFonts w:ascii="Cambria" w:hAnsi="Cambria" w:cs="Arial"/>
          <w:sz w:val="22"/>
          <w:szCs w:val="22"/>
        </w:rPr>
        <w:t xml:space="preserve">Das Sonett stellt eine </w:t>
      </w:r>
      <w:r w:rsidRPr="00DD7538">
        <w:rPr>
          <w:rFonts w:ascii="Cambria" w:hAnsi="Cambria" w:cs="Arial"/>
          <w:b/>
          <w:bCs/>
          <w:sz w:val="22"/>
          <w:szCs w:val="22"/>
        </w:rPr>
        <w:t>italienische Schöpfung</w:t>
      </w:r>
      <w:r w:rsidRPr="00DD7538">
        <w:rPr>
          <w:rFonts w:ascii="Cambria" w:hAnsi="Cambria" w:cs="Arial"/>
          <w:sz w:val="22"/>
          <w:szCs w:val="22"/>
        </w:rPr>
        <w:t xml:space="preserve"> dar und findet mit </w:t>
      </w:r>
      <w:r w:rsidR="0063330F">
        <w:rPr>
          <w:rFonts w:ascii="Cambria" w:hAnsi="Cambria" w:cs="Arial"/>
          <w:sz w:val="22"/>
          <w:szCs w:val="22"/>
        </w:rPr>
        <w:t xml:space="preserve">Francesco </w:t>
      </w:r>
      <w:r w:rsidRPr="00DD7538">
        <w:rPr>
          <w:rFonts w:ascii="Cambria" w:hAnsi="Cambria" w:cs="Arial"/>
          <w:sz w:val="22"/>
          <w:szCs w:val="22"/>
        </w:rPr>
        <w:t xml:space="preserve">Petrarca (1304-1374) in der Renaissance </w:t>
      </w:r>
      <w:r w:rsidR="00DD7538">
        <w:rPr>
          <w:rFonts w:ascii="Cambria" w:hAnsi="Cambria" w:cs="Arial"/>
          <w:sz w:val="22"/>
          <w:szCs w:val="22"/>
        </w:rPr>
        <w:t>seinen</w:t>
      </w:r>
      <w:r w:rsidRPr="00DD7538">
        <w:rPr>
          <w:rFonts w:ascii="Cambria" w:hAnsi="Cambria" w:cs="Arial"/>
          <w:sz w:val="22"/>
          <w:szCs w:val="22"/>
        </w:rPr>
        <w:t xml:space="preserve"> ersten Höhepunkt</w:t>
      </w:r>
      <w:r w:rsidR="0063330F">
        <w:rPr>
          <w:rFonts w:ascii="Cambria" w:hAnsi="Cambria" w:cs="Arial"/>
          <w:sz w:val="22"/>
          <w:szCs w:val="22"/>
        </w:rPr>
        <w:t>.</w:t>
      </w:r>
    </w:p>
    <w:p w14:paraId="1BA9BA65" w14:textId="4FD954EC" w:rsidR="00155AA4" w:rsidRPr="00DD7538" w:rsidRDefault="00155AA4" w:rsidP="00DD7538">
      <w:pPr>
        <w:pStyle w:val="StandardWeb"/>
        <w:numPr>
          <w:ilvl w:val="0"/>
          <w:numId w:val="26"/>
        </w:numPr>
        <w:spacing w:before="60" w:beforeAutospacing="0" w:after="0" w:afterAutospacing="0"/>
        <w:rPr>
          <w:rFonts w:ascii="Cambria" w:hAnsi="Cambria" w:cs="Arial"/>
          <w:sz w:val="22"/>
          <w:szCs w:val="22"/>
        </w:rPr>
      </w:pPr>
      <w:r w:rsidRPr="00DD7538">
        <w:rPr>
          <w:rFonts w:ascii="Cambria" w:hAnsi="Cambria" w:cs="Arial"/>
          <w:sz w:val="22"/>
          <w:szCs w:val="22"/>
        </w:rPr>
        <w:t xml:space="preserve">Es besteht aus </w:t>
      </w:r>
      <w:r w:rsidRPr="00DD7538">
        <w:rPr>
          <w:rFonts w:ascii="Cambria" w:hAnsi="Cambria" w:cs="Arial"/>
          <w:b/>
          <w:bCs/>
          <w:sz w:val="22"/>
          <w:szCs w:val="22"/>
        </w:rPr>
        <w:t>zwei Quartetten</w:t>
      </w:r>
      <w:r w:rsidRPr="00DD7538">
        <w:rPr>
          <w:rFonts w:ascii="Cambria" w:hAnsi="Cambria" w:cs="Arial"/>
          <w:sz w:val="22"/>
          <w:szCs w:val="22"/>
        </w:rPr>
        <w:t xml:space="preserve"> (zwei vierzeilige Strophen) und </w:t>
      </w:r>
      <w:r w:rsidRPr="00DD7538">
        <w:rPr>
          <w:rFonts w:ascii="Cambria" w:hAnsi="Cambria" w:cs="Arial"/>
          <w:b/>
          <w:bCs/>
          <w:sz w:val="22"/>
          <w:szCs w:val="22"/>
        </w:rPr>
        <w:t>zwei Terzetten</w:t>
      </w:r>
      <w:r w:rsidRPr="00DD7538">
        <w:rPr>
          <w:rFonts w:ascii="Cambria" w:hAnsi="Cambria" w:cs="Arial"/>
          <w:sz w:val="22"/>
          <w:szCs w:val="22"/>
        </w:rPr>
        <w:t xml:space="preserve"> (zwei dreizeilige Strophen).</w:t>
      </w:r>
    </w:p>
    <w:p w14:paraId="596063AC" w14:textId="5E61D027" w:rsidR="00155AA4" w:rsidRDefault="0063330F" w:rsidP="00DD7538">
      <w:pPr>
        <w:pStyle w:val="StandardWeb"/>
        <w:numPr>
          <w:ilvl w:val="0"/>
          <w:numId w:val="26"/>
        </w:numPr>
        <w:spacing w:before="60" w:beforeAutospacing="0" w:after="0" w:afterAutospacing="0"/>
        <w:rPr>
          <w:rFonts w:ascii="Cambria" w:hAnsi="Cambria" w:cs="Arial"/>
          <w:sz w:val="22"/>
          <w:szCs w:val="22"/>
        </w:rPr>
      </w:pPr>
      <w:r>
        <w:rPr>
          <w:rFonts w:ascii="Arial" w:hAnsi="Arial" w:cs="Arial"/>
          <w:noProof/>
          <w:color w:val="0000FF"/>
          <w:sz w:val="20"/>
          <w:szCs w:val="20"/>
        </w:rPr>
        <w:drawing>
          <wp:anchor distT="0" distB="0" distL="114300" distR="114300" simplePos="0" relativeHeight="251663360" behindDoc="0" locked="0" layoutInCell="1" allowOverlap="1" wp14:anchorId="4D3652FB" wp14:editId="063126C5">
            <wp:simplePos x="0" y="0"/>
            <wp:positionH relativeFrom="column">
              <wp:posOffset>2846070</wp:posOffset>
            </wp:positionH>
            <wp:positionV relativeFrom="paragraph">
              <wp:posOffset>260350</wp:posOffset>
            </wp:positionV>
            <wp:extent cx="2770505" cy="2407920"/>
            <wp:effectExtent l="0" t="0" r="0" b="0"/>
            <wp:wrapSquare wrapText="bothSides"/>
            <wp:docPr id="10" name="Grafik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505"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A4" w:rsidRPr="00DD7538">
        <w:rPr>
          <w:rFonts w:ascii="Cambria" w:hAnsi="Cambria" w:cs="Arial"/>
          <w:sz w:val="22"/>
          <w:szCs w:val="22"/>
        </w:rPr>
        <w:t xml:space="preserve">Durch die vorhandene </w:t>
      </w:r>
      <w:r w:rsidR="00155AA4" w:rsidRPr="00DD7538">
        <w:rPr>
          <w:rFonts w:ascii="Cambria" w:hAnsi="Cambria" w:cs="Arial"/>
          <w:b/>
          <w:bCs/>
          <w:sz w:val="22"/>
          <w:szCs w:val="22"/>
        </w:rPr>
        <w:t>Zäsur</w:t>
      </w:r>
      <w:r w:rsidR="00155AA4" w:rsidRPr="00DD7538">
        <w:rPr>
          <w:rFonts w:ascii="Cambria" w:hAnsi="Cambria" w:cs="Arial"/>
          <w:sz w:val="22"/>
          <w:szCs w:val="22"/>
        </w:rPr>
        <w:t xml:space="preserve"> zwischen den Quartetten und Terzetten eignet sich das Sonett besonders gut  für die </w:t>
      </w:r>
      <w:r w:rsidR="00155AA4" w:rsidRPr="00DD7538">
        <w:rPr>
          <w:rFonts w:ascii="Cambria" w:hAnsi="Cambria" w:cs="Arial"/>
          <w:b/>
          <w:bCs/>
          <w:sz w:val="22"/>
          <w:szCs w:val="22"/>
        </w:rPr>
        <w:t>Gedanken</w:t>
      </w:r>
      <w:r w:rsidR="00DD7538">
        <w:rPr>
          <w:rFonts w:ascii="Cambria" w:hAnsi="Cambria" w:cs="Arial"/>
          <w:b/>
          <w:bCs/>
          <w:sz w:val="22"/>
          <w:szCs w:val="22"/>
        </w:rPr>
        <w:t xml:space="preserve">lyrik </w:t>
      </w:r>
      <w:r w:rsidR="00DD7538" w:rsidRPr="00DD7538">
        <w:rPr>
          <w:rFonts w:ascii="Cambria" w:hAnsi="Cambria" w:cs="Arial"/>
          <w:sz w:val="22"/>
          <w:szCs w:val="22"/>
        </w:rPr>
        <w:t>und zur Darstellung einer Argumentation</w:t>
      </w:r>
      <w:r w:rsidR="00155AA4" w:rsidRPr="00DD7538">
        <w:rPr>
          <w:rFonts w:ascii="Cambria" w:hAnsi="Cambria" w:cs="Arial"/>
          <w:sz w:val="22"/>
          <w:szCs w:val="22"/>
        </w:rPr>
        <w:t xml:space="preserve"> mit Strukturen wie Satz (These) und Gegensatz (Antithese), Frage und Antwort, Problem und Lösung, Erlebnis und allgemeine Anwendung, Gedankenspiel und Fazit</w:t>
      </w:r>
      <w:r w:rsidR="00DD7538">
        <w:rPr>
          <w:rFonts w:ascii="Cambria" w:hAnsi="Cambria" w:cs="Arial"/>
          <w:sz w:val="22"/>
          <w:szCs w:val="22"/>
        </w:rPr>
        <w:t>.</w:t>
      </w:r>
      <w:r w:rsidR="00155AA4" w:rsidRPr="00DD7538">
        <w:rPr>
          <w:rFonts w:ascii="Cambria" w:hAnsi="Cambria" w:cs="Arial"/>
          <w:sz w:val="22"/>
          <w:szCs w:val="22"/>
        </w:rPr>
        <w:t xml:space="preserve"> </w:t>
      </w:r>
    </w:p>
    <w:p w14:paraId="4FDB605F" w14:textId="249F8B1B" w:rsidR="00DD7538" w:rsidRDefault="00DD7538" w:rsidP="00DD7538">
      <w:pPr>
        <w:pStyle w:val="StandardWeb"/>
        <w:numPr>
          <w:ilvl w:val="0"/>
          <w:numId w:val="26"/>
        </w:numPr>
        <w:spacing w:before="60" w:beforeAutospacing="0" w:after="0" w:afterAutospacing="0"/>
        <w:rPr>
          <w:rFonts w:ascii="Cambria" w:hAnsi="Cambria" w:cs="Arial"/>
          <w:sz w:val="22"/>
          <w:szCs w:val="22"/>
        </w:rPr>
      </w:pPr>
      <w:r>
        <w:rPr>
          <w:rFonts w:ascii="Cambria" w:hAnsi="Cambria" w:cs="Arial"/>
          <w:sz w:val="22"/>
          <w:szCs w:val="22"/>
        </w:rPr>
        <w:t>In dieser Funktion wird das Sonett, insbesondere in der frühen Neuzeit, in Renaissance, Humanismus und Barock</w:t>
      </w:r>
      <w:r w:rsidR="00E31FD1">
        <w:rPr>
          <w:rFonts w:ascii="Cambria" w:hAnsi="Cambria" w:cs="Arial"/>
          <w:sz w:val="22"/>
          <w:szCs w:val="22"/>
        </w:rPr>
        <w:t>,</w:t>
      </w:r>
      <w:bookmarkStart w:id="0" w:name="_GoBack"/>
      <w:bookmarkEnd w:id="0"/>
      <w:r>
        <w:rPr>
          <w:rFonts w:ascii="Cambria" w:hAnsi="Cambria" w:cs="Arial"/>
          <w:sz w:val="22"/>
          <w:szCs w:val="22"/>
        </w:rPr>
        <w:t xml:space="preserve"> mit der </w:t>
      </w:r>
      <w:r w:rsidRPr="00DD7538">
        <w:rPr>
          <w:rFonts w:ascii="Cambria" w:hAnsi="Cambria" w:cs="Arial"/>
          <w:b/>
          <w:bCs/>
          <w:sz w:val="22"/>
          <w:szCs w:val="22"/>
        </w:rPr>
        <w:t>Kompositionsfigur des vierfachen Schriftsinns</w:t>
      </w:r>
      <w:r>
        <w:rPr>
          <w:rFonts w:ascii="Cambria" w:hAnsi="Cambria" w:cs="Arial"/>
          <w:sz w:val="22"/>
          <w:szCs w:val="22"/>
        </w:rPr>
        <w:t xml:space="preserve"> gestaltet</w:t>
      </w:r>
      <w:r w:rsidR="0063330F">
        <w:rPr>
          <w:rFonts w:ascii="Cambria" w:hAnsi="Cambria" w:cs="Arial"/>
          <w:sz w:val="22"/>
          <w:szCs w:val="22"/>
        </w:rPr>
        <w:t xml:space="preserve">, bei dem die vier aufeinander aufbauenden Schritte zu einem vertieften Textverständnis </w:t>
      </w:r>
      <w:r w:rsidR="0063330F">
        <w:rPr>
          <w:rFonts w:ascii="Cambria" w:hAnsi="Cambria" w:cs="Arial"/>
          <w:sz w:val="22"/>
          <w:szCs w:val="22"/>
        </w:rPr>
        <w:t xml:space="preserve">in einer Argumentation </w:t>
      </w:r>
      <w:r w:rsidR="0063330F">
        <w:rPr>
          <w:rFonts w:ascii="Cambria" w:hAnsi="Cambria" w:cs="Arial"/>
          <w:sz w:val="22"/>
          <w:szCs w:val="22"/>
        </w:rPr>
        <w:t>idealerweise nacheinander auf die Strophen des Sonetts verteilt sind.</w:t>
      </w:r>
    </w:p>
    <w:p w14:paraId="2E85F42D" w14:textId="14CED8DA" w:rsidR="0063330F" w:rsidRPr="00DD7538" w:rsidRDefault="0063330F" w:rsidP="00DD7538">
      <w:pPr>
        <w:pStyle w:val="StandardWeb"/>
        <w:numPr>
          <w:ilvl w:val="0"/>
          <w:numId w:val="26"/>
        </w:numPr>
        <w:spacing w:before="60" w:beforeAutospacing="0" w:after="0" w:afterAutospacing="0"/>
        <w:rPr>
          <w:rFonts w:ascii="Cambria" w:hAnsi="Cambria" w:cs="Arial"/>
          <w:sz w:val="22"/>
          <w:szCs w:val="22"/>
        </w:rPr>
      </w:pPr>
      <w:r>
        <w:rPr>
          <w:rFonts w:ascii="Cambria" w:hAnsi="Cambria" w:cs="Arial"/>
          <w:sz w:val="22"/>
          <w:szCs w:val="22"/>
        </w:rPr>
        <w:t xml:space="preserve">In der </w:t>
      </w:r>
      <w:r w:rsidRPr="0075251F">
        <w:rPr>
          <w:rFonts w:ascii="Cambria" w:hAnsi="Cambria" w:cs="Arial"/>
          <w:b/>
          <w:bCs/>
          <w:sz w:val="22"/>
          <w:szCs w:val="22"/>
        </w:rPr>
        <w:t>Literaturepoche des Barock</w:t>
      </w:r>
      <w:r>
        <w:rPr>
          <w:rFonts w:ascii="Cambria" w:hAnsi="Cambria" w:cs="Arial"/>
          <w:sz w:val="22"/>
          <w:szCs w:val="22"/>
        </w:rPr>
        <w:t xml:space="preserve"> besteht die in dieser Zeit besonders beliebte Gedichtform </w:t>
      </w:r>
      <w:r w:rsidR="0075251F">
        <w:rPr>
          <w:rFonts w:ascii="Cambria" w:hAnsi="Cambria" w:cs="Arial"/>
          <w:sz w:val="22"/>
          <w:szCs w:val="22"/>
        </w:rPr>
        <w:t xml:space="preserve">in der Regel aus </w:t>
      </w:r>
      <w:r w:rsidR="0075251F" w:rsidRPr="0075251F">
        <w:rPr>
          <w:rFonts w:ascii="Cambria" w:hAnsi="Cambria" w:cs="Arial"/>
          <w:b/>
          <w:bCs/>
          <w:sz w:val="22"/>
          <w:szCs w:val="22"/>
        </w:rPr>
        <w:t>alternierenden Jamben</w:t>
      </w:r>
      <w:r w:rsidR="0075251F">
        <w:rPr>
          <w:rFonts w:ascii="Cambria" w:hAnsi="Cambria" w:cs="Arial"/>
          <w:sz w:val="22"/>
          <w:szCs w:val="22"/>
        </w:rPr>
        <w:t xml:space="preserve"> und dem </w:t>
      </w:r>
      <w:r w:rsidR="0075251F" w:rsidRPr="0075251F">
        <w:rPr>
          <w:rFonts w:ascii="Cambria" w:hAnsi="Cambria" w:cs="Arial"/>
          <w:b/>
          <w:bCs/>
          <w:sz w:val="22"/>
          <w:szCs w:val="22"/>
        </w:rPr>
        <w:t>Alexandrinervers mit einer Mittelzäsur</w:t>
      </w:r>
      <w:r w:rsidR="0075251F">
        <w:rPr>
          <w:rFonts w:ascii="Cambria" w:hAnsi="Cambria" w:cs="Arial"/>
          <w:sz w:val="22"/>
          <w:szCs w:val="22"/>
        </w:rPr>
        <w:t>.</w:t>
      </w:r>
    </w:p>
    <w:p w14:paraId="61DC930D" w14:textId="7EA18B51" w:rsidR="00155AA4" w:rsidRPr="0063330F" w:rsidRDefault="0075251F" w:rsidP="00DD7538">
      <w:pPr>
        <w:pStyle w:val="StandardWeb"/>
        <w:spacing w:before="180" w:beforeAutospacing="0" w:after="120" w:afterAutospacing="0"/>
        <w:rPr>
          <w:rFonts w:asciiTheme="minorHAnsi" w:hAnsiTheme="minorHAnsi" w:cs="Arial"/>
          <w:sz w:val="22"/>
          <w:szCs w:val="22"/>
        </w:rPr>
      </w:pPr>
      <w:r>
        <w:rPr>
          <w:rFonts w:asciiTheme="minorHAnsi" w:hAnsiTheme="minorHAnsi" w:cs="Arial"/>
          <w:sz w:val="22"/>
          <w:szCs w:val="22"/>
        </w:rPr>
        <w:t>Es</w:t>
      </w:r>
      <w:r w:rsidR="00155AA4" w:rsidRPr="0063330F">
        <w:rPr>
          <w:rFonts w:asciiTheme="minorHAnsi" w:hAnsiTheme="minorHAnsi" w:cs="Arial"/>
          <w:sz w:val="22"/>
          <w:szCs w:val="22"/>
        </w:rPr>
        <w:t xml:space="preserve"> lassen sich vier </w:t>
      </w:r>
      <w:r w:rsidR="00155AA4" w:rsidRPr="0063330F">
        <w:rPr>
          <w:rFonts w:asciiTheme="minorHAnsi" w:hAnsiTheme="minorHAnsi" w:cs="Arial"/>
          <w:b/>
          <w:bCs/>
          <w:sz w:val="22"/>
          <w:szCs w:val="22"/>
        </w:rPr>
        <w:t>Grundtypen</w:t>
      </w:r>
      <w:r w:rsidR="00155AA4" w:rsidRPr="0063330F">
        <w:rPr>
          <w:rFonts w:asciiTheme="minorHAnsi" w:hAnsiTheme="minorHAnsi" w:cs="Arial"/>
          <w:sz w:val="22"/>
          <w:szCs w:val="22"/>
        </w:rPr>
        <w:t xml:space="preserve"> des Sonetts unterscheiden. Die unterschiedliche Art der Reimverschränkung fußt dabei auf verschiedenen historischen Traditionen.</w:t>
      </w:r>
    </w:p>
    <w:tbl>
      <w:tblPr>
        <w:tblW w:w="5000" w:type="pct"/>
        <w:tblBorders>
          <w:top w:val="outset" w:sz="6" w:space="0" w:color="E8E8E8"/>
          <w:left w:val="outset" w:sz="6" w:space="0" w:color="E8E8E8"/>
          <w:bottom w:val="outset" w:sz="6" w:space="0" w:color="E8E8E8"/>
          <w:right w:val="outset" w:sz="6" w:space="0" w:color="E8E8E8"/>
        </w:tblBorders>
        <w:tblCellMar>
          <w:top w:w="75" w:type="dxa"/>
          <w:left w:w="75" w:type="dxa"/>
          <w:bottom w:w="75" w:type="dxa"/>
          <w:right w:w="75" w:type="dxa"/>
        </w:tblCellMar>
        <w:tblLook w:val="04A0" w:firstRow="1" w:lastRow="0" w:firstColumn="1" w:lastColumn="0" w:noHBand="0" w:noVBand="1"/>
      </w:tblPr>
      <w:tblGrid>
        <w:gridCol w:w="1976"/>
        <w:gridCol w:w="4386"/>
        <w:gridCol w:w="2688"/>
      </w:tblGrid>
      <w:tr w:rsidR="00DD7538" w:rsidRPr="00DD7538" w14:paraId="285E4A81" w14:textId="77777777" w:rsidTr="00DD7538">
        <w:tc>
          <w:tcPr>
            <w:tcW w:w="1092" w:type="pct"/>
            <w:vMerge w:val="restart"/>
            <w:tcBorders>
              <w:top w:val="outset" w:sz="6" w:space="0" w:color="E8E8E8"/>
              <w:left w:val="outset" w:sz="6" w:space="0" w:color="E8E8E8"/>
              <w:bottom w:val="outset" w:sz="6" w:space="0" w:color="E8E8E8"/>
              <w:right w:val="outset" w:sz="6" w:space="0" w:color="E8E8E8"/>
            </w:tcBorders>
            <w:shd w:val="clear" w:color="auto" w:fill="EFEFEF"/>
            <w:hideMark/>
          </w:tcPr>
          <w:p w14:paraId="66024432" w14:textId="65D05407"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1" w:name="Italienischer_Petrarca-Typ"/>
            <w:r w:rsidRPr="00DD7538">
              <w:rPr>
                <w:rFonts w:asciiTheme="majorHAnsi" w:hAnsiTheme="majorHAnsi" w:cs="Arial"/>
                <w:b/>
                <w:bCs/>
                <w:color w:val="000000"/>
                <w:sz w:val="22"/>
                <w:szCs w:val="22"/>
              </w:rPr>
              <w:t xml:space="preserve">Italienischer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Petrarca-Typ</w:t>
            </w:r>
            <w:bookmarkEnd w:id="1"/>
          </w:p>
        </w:tc>
        <w:tc>
          <w:tcPr>
            <w:tcW w:w="2423" w:type="pct"/>
            <w:tcBorders>
              <w:top w:val="outset" w:sz="6" w:space="0" w:color="E8E8E8"/>
              <w:left w:val="outset" w:sz="6" w:space="0" w:color="E8E8E8"/>
              <w:bottom w:val="outset" w:sz="6" w:space="0" w:color="E8E8E8"/>
              <w:right w:val="outset" w:sz="6" w:space="0" w:color="E8E8E8"/>
            </w:tcBorders>
            <w:hideMark/>
          </w:tcPr>
          <w:p w14:paraId="7FFF1045" w14:textId="77777777"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a) alternierender Oktavbau und zwei Sextettordnungen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77202CA9"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lang w:val="en-US"/>
              </w:rPr>
            </w:pPr>
            <w:r w:rsidRPr="00DD7538">
              <w:rPr>
                <w:rFonts w:asciiTheme="majorHAnsi" w:hAnsiTheme="majorHAnsi" w:cs="Arial"/>
                <w:color w:val="000000"/>
                <w:sz w:val="22"/>
                <w:szCs w:val="22"/>
                <w:lang w:val="en-US"/>
              </w:rPr>
              <w:t>abab / abab / cdc / dcd</w:t>
            </w:r>
            <w:r w:rsidRPr="00DD7538">
              <w:rPr>
                <w:rFonts w:asciiTheme="majorHAnsi" w:hAnsiTheme="majorHAnsi" w:cs="Arial"/>
                <w:color w:val="000000"/>
                <w:sz w:val="22"/>
                <w:szCs w:val="22"/>
                <w:lang w:val="en-US"/>
              </w:rPr>
              <w:br/>
              <w:t>abab / abab / cde / cde</w:t>
            </w:r>
          </w:p>
        </w:tc>
      </w:tr>
      <w:tr w:rsidR="00DD7538" w:rsidRPr="00DD7538" w14:paraId="5F8CF4B8" w14:textId="77777777" w:rsidTr="00DD7538">
        <w:tc>
          <w:tcPr>
            <w:tcW w:w="1092" w:type="pct"/>
            <w:vMerge/>
            <w:tcBorders>
              <w:top w:val="outset" w:sz="6" w:space="0" w:color="E8E8E8"/>
              <w:left w:val="outset" w:sz="6" w:space="0" w:color="E8E8E8"/>
              <w:bottom w:val="outset" w:sz="6" w:space="0" w:color="E8E8E8"/>
              <w:right w:val="outset" w:sz="6" w:space="0" w:color="E8E8E8"/>
            </w:tcBorders>
            <w:vAlign w:val="center"/>
            <w:hideMark/>
          </w:tcPr>
          <w:p w14:paraId="445CFB1F" w14:textId="77777777" w:rsidR="00155AA4" w:rsidRPr="00DD7538" w:rsidRDefault="00155AA4">
            <w:pPr>
              <w:rPr>
                <w:rFonts w:asciiTheme="majorHAnsi" w:hAnsiTheme="majorHAnsi" w:cs="Arial"/>
                <w:color w:val="000000"/>
                <w:sz w:val="22"/>
                <w:szCs w:val="22"/>
                <w:lang w:val="en-US"/>
              </w:rPr>
            </w:pPr>
          </w:p>
        </w:tc>
        <w:tc>
          <w:tcPr>
            <w:tcW w:w="2423" w:type="pct"/>
            <w:tcBorders>
              <w:top w:val="outset" w:sz="6" w:space="0" w:color="E8E8E8"/>
              <w:left w:val="outset" w:sz="6" w:space="0" w:color="E8E8E8"/>
              <w:bottom w:val="outset" w:sz="6" w:space="0" w:color="E8E8E8"/>
              <w:right w:val="outset" w:sz="6" w:space="0" w:color="E8E8E8"/>
            </w:tcBorders>
            <w:hideMark/>
          </w:tcPr>
          <w:p w14:paraId="3E1AC04F" w14:textId="0663119E"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b) umschlingender Oktavreim und zwei Sextettordnungen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23506DB1"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abba / abba / cdc / dcd</w:t>
            </w:r>
            <w:r w:rsidRPr="00DD7538">
              <w:rPr>
                <w:rFonts w:asciiTheme="majorHAnsi" w:hAnsiTheme="majorHAnsi" w:cs="Arial"/>
                <w:color w:val="000000"/>
                <w:sz w:val="22"/>
                <w:szCs w:val="22"/>
              </w:rPr>
              <w:br/>
              <w:t>abba / abba / cde / cde</w:t>
            </w:r>
          </w:p>
        </w:tc>
      </w:tr>
      <w:tr w:rsidR="00DD7538" w:rsidRPr="00DD7538" w14:paraId="6A178E51" w14:textId="77777777" w:rsidTr="00DD7538">
        <w:tc>
          <w:tcPr>
            <w:tcW w:w="1092" w:type="pct"/>
            <w:tcBorders>
              <w:top w:val="outset" w:sz="6" w:space="0" w:color="E8E8E8"/>
              <w:left w:val="outset" w:sz="6" w:space="0" w:color="E8E8E8"/>
              <w:bottom w:val="outset" w:sz="6" w:space="0" w:color="E8E8E8"/>
              <w:right w:val="outset" w:sz="6" w:space="0" w:color="E8E8E8"/>
            </w:tcBorders>
            <w:shd w:val="clear" w:color="auto" w:fill="EFEFEF"/>
            <w:hideMark/>
          </w:tcPr>
          <w:p w14:paraId="3D951361" w14:textId="6A149983"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2" w:name="Französischer_Ronsard-Typ"/>
            <w:r w:rsidRPr="00DD7538">
              <w:rPr>
                <w:rFonts w:asciiTheme="majorHAnsi" w:hAnsiTheme="majorHAnsi" w:cs="Arial"/>
                <w:b/>
                <w:bCs/>
                <w:color w:val="000000"/>
                <w:sz w:val="22"/>
                <w:szCs w:val="22"/>
              </w:rPr>
              <w:t xml:space="preserve">Französischer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Ronsard-Typ</w:t>
            </w:r>
            <w:bookmarkEnd w:id="2"/>
          </w:p>
        </w:tc>
        <w:tc>
          <w:tcPr>
            <w:tcW w:w="2423" w:type="pct"/>
            <w:tcBorders>
              <w:top w:val="outset" w:sz="6" w:space="0" w:color="E8E8E8"/>
              <w:left w:val="outset" w:sz="6" w:space="0" w:color="E8E8E8"/>
              <w:bottom w:val="outset" w:sz="6" w:space="0" w:color="E8E8E8"/>
              <w:right w:val="outset" w:sz="6" w:space="0" w:color="E8E8E8"/>
            </w:tcBorders>
            <w:hideMark/>
          </w:tcPr>
          <w:p w14:paraId="1B155698" w14:textId="3F623461"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umschlingender Oktavreim und zwei Sextett</w:t>
            </w:r>
            <w:r w:rsidR="00DD7538" w:rsidRPr="00DD7538">
              <w:rPr>
                <w:rFonts w:asciiTheme="majorHAnsi" w:hAnsiTheme="majorHAnsi" w:cs="Arial"/>
                <w:color w:val="000000"/>
                <w:sz w:val="22"/>
                <w:szCs w:val="22"/>
              </w:rPr>
              <w:t>-</w:t>
            </w:r>
            <w:r w:rsidRPr="00DD7538">
              <w:rPr>
                <w:rFonts w:asciiTheme="majorHAnsi" w:hAnsiTheme="majorHAnsi" w:cs="Arial"/>
                <w:color w:val="000000"/>
                <w:sz w:val="22"/>
                <w:szCs w:val="22"/>
              </w:rPr>
              <w:t>anordnungen</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1CA7BD58"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abba / abba / ccd /eed</w:t>
            </w:r>
            <w:r w:rsidRPr="00DD7538">
              <w:rPr>
                <w:rFonts w:asciiTheme="majorHAnsi" w:hAnsiTheme="majorHAnsi" w:cs="Arial"/>
                <w:color w:val="000000"/>
                <w:sz w:val="22"/>
                <w:szCs w:val="22"/>
              </w:rPr>
              <w:br/>
              <w:t>abba / abba / ccd/ ede</w:t>
            </w:r>
          </w:p>
        </w:tc>
      </w:tr>
      <w:tr w:rsidR="00DD7538" w:rsidRPr="00DD7538" w14:paraId="5404DDFE" w14:textId="77777777" w:rsidTr="00DD7538">
        <w:tc>
          <w:tcPr>
            <w:tcW w:w="1092" w:type="pct"/>
            <w:tcBorders>
              <w:top w:val="outset" w:sz="6" w:space="0" w:color="E8E8E8"/>
              <w:left w:val="outset" w:sz="6" w:space="0" w:color="E8E8E8"/>
              <w:bottom w:val="outset" w:sz="6" w:space="0" w:color="E8E8E8"/>
              <w:right w:val="outset" w:sz="6" w:space="0" w:color="E8E8E8"/>
            </w:tcBorders>
            <w:shd w:val="clear" w:color="auto" w:fill="EFEFEF"/>
            <w:hideMark/>
          </w:tcPr>
          <w:p w14:paraId="24BB9FDB" w14:textId="25259BDA" w:rsidR="00155AA4" w:rsidRPr="00DD7538" w:rsidRDefault="00155AA4">
            <w:pPr>
              <w:pStyle w:val="StandardWeb"/>
              <w:spacing w:before="90" w:beforeAutospacing="0" w:after="90" w:afterAutospacing="0"/>
              <w:rPr>
                <w:rFonts w:asciiTheme="majorHAnsi" w:hAnsiTheme="majorHAnsi" w:cs="Arial"/>
                <w:color w:val="000000"/>
                <w:sz w:val="22"/>
                <w:szCs w:val="22"/>
              </w:rPr>
            </w:pPr>
            <w:bookmarkStart w:id="3" w:name="Englischer_Shakespeare-Typ"/>
            <w:r w:rsidRPr="00DD7538">
              <w:rPr>
                <w:rFonts w:asciiTheme="majorHAnsi" w:hAnsiTheme="majorHAnsi" w:cs="Arial"/>
                <w:b/>
                <w:bCs/>
                <w:color w:val="000000"/>
                <w:sz w:val="22"/>
                <w:szCs w:val="22"/>
              </w:rPr>
              <w:t xml:space="preserve">Englischer </w:t>
            </w:r>
            <w:r w:rsidR="00DD7538" w:rsidRPr="00DD7538">
              <w:rPr>
                <w:rFonts w:asciiTheme="majorHAnsi" w:hAnsiTheme="majorHAnsi" w:cs="Arial"/>
                <w:b/>
                <w:bCs/>
                <w:color w:val="000000"/>
                <w:sz w:val="22"/>
                <w:szCs w:val="22"/>
              </w:rPr>
              <w:br/>
            </w:r>
            <w:r w:rsidRPr="00DD7538">
              <w:rPr>
                <w:rFonts w:asciiTheme="majorHAnsi" w:hAnsiTheme="majorHAnsi" w:cs="Arial"/>
                <w:b/>
                <w:bCs/>
                <w:color w:val="000000"/>
                <w:sz w:val="22"/>
                <w:szCs w:val="22"/>
              </w:rPr>
              <w:t>Shakespeare-Typ</w:t>
            </w:r>
            <w:bookmarkEnd w:id="3"/>
          </w:p>
        </w:tc>
        <w:tc>
          <w:tcPr>
            <w:tcW w:w="2423" w:type="pct"/>
            <w:tcBorders>
              <w:top w:val="outset" w:sz="6" w:space="0" w:color="E8E8E8"/>
              <w:left w:val="outset" w:sz="6" w:space="0" w:color="E8E8E8"/>
              <w:bottom w:val="outset" w:sz="6" w:space="0" w:color="E8E8E8"/>
              <w:right w:val="outset" w:sz="6" w:space="0" w:color="E8E8E8"/>
            </w:tcBorders>
            <w:hideMark/>
          </w:tcPr>
          <w:p w14:paraId="4CF053A6" w14:textId="77777777" w:rsidR="00155AA4" w:rsidRPr="00DD7538" w:rsidRDefault="00155AA4">
            <w:pPr>
              <w:pStyle w:val="StandardWeb"/>
              <w:spacing w:before="90" w:beforeAutospacing="0" w:after="90" w:afterAutospacing="0"/>
              <w:rPr>
                <w:rFonts w:asciiTheme="majorHAnsi" w:hAnsiTheme="majorHAnsi" w:cs="Arial"/>
                <w:color w:val="000000"/>
                <w:sz w:val="22"/>
                <w:szCs w:val="22"/>
              </w:rPr>
            </w:pPr>
            <w:r w:rsidRPr="00DD7538">
              <w:rPr>
                <w:rFonts w:asciiTheme="majorHAnsi" w:hAnsiTheme="majorHAnsi" w:cs="Arial"/>
                <w:color w:val="000000"/>
                <w:sz w:val="22"/>
                <w:szCs w:val="22"/>
              </w:rPr>
              <w:t xml:space="preserve">drei alternierend reimende Quartette und ein Reimpaar </w:t>
            </w:r>
          </w:p>
        </w:tc>
        <w:tc>
          <w:tcPr>
            <w:tcW w:w="1485" w:type="pct"/>
            <w:tcBorders>
              <w:top w:val="outset" w:sz="6" w:space="0" w:color="E8E8E8"/>
              <w:left w:val="outset" w:sz="6" w:space="0" w:color="E8E8E8"/>
              <w:bottom w:val="outset" w:sz="6" w:space="0" w:color="E8E8E8"/>
              <w:right w:val="outset" w:sz="6" w:space="0" w:color="E8E8E8"/>
            </w:tcBorders>
            <w:shd w:val="clear" w:color="auto" w:fill="EFEFEF"/>
            <w:hideMark/>
          </w:tcPr>
          <w:p w14:paraId="3AC5DEE6" w14:textId="77777777" w:rsidR="00155AA4" w:rsidRPr="00DD7538" w:rsidRDefault="00155AA4" w:rsidP="00DD7538">
            <w:pPr>
              <w:pStyle w:val="StandardWeb"/>
              <w:spacing w:before="90" w:beforeAutospacing="0" w:after="90" w:afterAutospacing="0"/>
              <w:jc w:val="center"/>
              <w:rPr>
                <w:rFonts w:asciiTheme="majorHAnsi" w:hAnsiTheme="majorHAnsi" w:cs="Arial"/>
                <w:color w:val="000000"/>
                <w:sz w:val="22"/>
                <w:szCs w:val="22"/>
              </w:rPr>
            </w:pPr>
            <w:r w:rsidRPr="00DD7538">
              <w:rPr>
                <w:rFonts w:asciiTheme="majorHAnsi" w:hAnsiTheme="majorHAnsi" w:cs="Arial"/>
                <w:color w:val="000000"/>
                <w:sz w:val="22"/>
                <w:szCs w:val="22"/>
              </w:rPr>
              <w:t>abab / cdcd / efef / gg</w:t>
            </w:r>
          </w:p>
        </w:tc>
      </w:tr>
    </w:tbl>
    <w:p w14:paraId="148E4352" w14:textId="4F1B1DBD" w:rsidR="00155AA4" w:rsidRPr="0063330F" w:rsidRDefault="00155AA4" w:rsidP="0063330F">
      <w:pPr>
        <w:pStyle w:val="StandardWeb"/>
        <w:spacing w:before="240" w:beforeAutospacing="0" w:after="180" w:afterAutospacing="0"/>
        <w:rPr>
          <w:rFonts w:asciiTheme="minorHAnsi" w:hAnsiTheme="minorHAnsi" w:cs="Arial"/>
          <w:sz w:val="22"/>
          <w:szCs w:val="22"/>
        </w:rPr>
      </w:pPr>
      <w:r w:rsidRPr="0063330F">
        <w:rPr>
          <w:rFonts w:asciiTheme="minorHAnsi" w:hAnsiTheme="minorHAnsi" w:cs="Arial"/>
          <w:sz w:val="22"/>
          <w:szCs w:val="22"/>
        </w:rPr>
        <w:t>Das Sonett kommt im 18. Jahrhundert zunächst nahezu gänzlich aus der Mode und gewinnt erst mit der Literaturepoche der Romantik wieder an Boden. Bis in unsere Tage hinein sieht man das Sonett allerdings wegen seiner strengen Form und seines antithetischen Baus als Idealform des Kunstgedichtes an.</w:t>
      </w:r>
    </w:p>
    <w:sectPr w:rsidR="00155AA4" w:rsidRPr="0063330F" w:rsidSect="00D327EA">
      <w:headerReference w:type="even" r:id="rId10"/>
      <w:headerReference w:type="default" r:id="rId11"/>
      <w:footerReference w:type="even" r:id="rId12"/>
      <w:footerReference w:type="default" r:id="rId1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32BC" w14:textId="77777777" w:rsidR="00BF7B86" w:rsidRDefault="00BF7B86" w:rsidP="003016EC">
      <w:r>
        <w:separator/>
      </w:r>
    </w:p>
  </w:endnote>
  <w:endnote w:type="continuationSeparator" w:id="0">
    <w:p w14:paraId="13DDE70B" w14:textId="77777777" w:rsidR="00BF7B86" w:rsidRDefault="00BF7B8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81AD" w14:textId="1F8B6F4A" w:rsidR="0063330F" w:rsidRPr="0063330F" w:rsidRDefault="0063330F" w:rsidP="0063330F">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3360" behindDoc="0" locked="0" layoutInCell="1" allowOverlap="1" wp14:anchorId="5769F106" wp14:editId="16506393">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9875" w14:textId="113B82C7" w:rsidR="00155AA4" w:rsidRPr="001847B8" w:rsidRDefault="00155AA4" w:rsidP="00155AA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015497B9" wp14:editId="254D582B">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61F1CC0A" w14:textId="77777777" w:rsidR="00155AA4" w:rsidRDefault="00155A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76A5" w14:textId="77777777" w:rsidR="00BF7B86" w:rsidRDefault="00BF7B86" w:rsidP="003016EC">
      <w:r>
        <w:separator/>
      </w:r>
    </w:p>
  </w:footnote>
  <w:footnote w:type="continuationSeparator" w:id="0">
    <w:p w14:paraId="465B2A19" w14:textId="77777777" w:rsidR="00BF7B86" w:rsidRDefault="00BF7B8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0680" w14:textId="77777777" w:rsidR="00155AA4" w:rsidRPr="003B0F77" w:rsidRDefault="00155AA4" w:rsidP="00155AA4">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1312" behindDoc="0" locked="0" layoutInCell="1" allowOverlap="1" wp14:anchorId="68BE325E" wp14:editId="639F2021">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p w14:paraId="4A5D6C82" w14:textId="77777777" w:rsidR="00155AA4" w:rsidRDefault="00155A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3EFF9F7A"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6716D4">
      <w:rPr>
        <w:rFonts w:asciiTheme="majorHAnsi" w:hAnsiTheme="majorHAnsi"/>
      </w:rPr>
      <w:t xml:space="preserve">                                       </w:t>
    </w:r>
    <w:r w:rsidRPr="003B0F77">
      <w:rPr>
        <w:rFonts w:asciiTheme="majorHAnsi" w:hAnsiTheme="majorHAnsi"/>
      </w:rPr>
      <w:t>teachSam-OER 20</w:t>
    </w:r>
    <w:r w:rsidR="00EC5CE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9493F"/>
    <w:multiLevelType w:val="multilevel"/>
    <w:tmpl w:val="5E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3"/>
  </w:num>
  <w:num w:numId="6">
    <w:abstractNumId w:val="3"/>
  </w:num>
  <w:num w:numId="7">
    <w:abstractNumId w:val="1"/>
  </w:num>
  <w:num w:numId="8">
    <w:abstractNumId w:val="0"/>
  </w:num>
  <w:num w:numId="9">
    <w:abstractNumId w:val="9"/>
  </w:num>
  <w:num w:numId="10">
    <w:abstractNumId w:val="25"/>
  </w:num>
  <w:num w:numId="11">
    <w:abstractNumId w:val="19"/>
  </w:num>
  <w:num w:numId="12">
    <w:abstractNumId w:val="14"/>
  </w:num>
  <w:num w:numId="13">
    <w:abstractNumId w:val="20"/>
  </w:num>
  <w:num w:numId="14">
    <w:abstractNumId w:val="5"/>
  </w:num>
  <w:num w:numId="15">
    <w:abstractNumId w:val="13"/>
  </w:num>
  <w:num w:numId="16">
    <w:abstractNumId w:val="18"/>
  </w:num>
  <w:num w:numId="17">
    <w:abstractNumId w:val="10"/>
  </w:num>
  <w:num w:numId="18">
    <w:abstractNumId w:val="15"/>
  </w:num>
  <w:num w:numId="19">
    <w:abstractNumId w:val="24"/>
  </w:num>
  <w:num w:numId="20">
    <w:abstractNumId w:val="6"/>
  </w:num>
  <w:num w:numId="21">
    <w:abstractNumId w:val="17"/>
  </w:num>
  <w:num w:numId="22">
    <w:abstractNumId w:val="7"/>
  </w:num>
  <w:num w:numId="23">
    <w:abstractNumId w:val="2"/>
  </w:num>
  <w:num w:numId="24">
    <w:abstractNumId w:val="21"/>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4A2D"/>
    <w:rsid w:val="00065E89"/>
    <w:rsid w:val="000A0C8B"/>
    <w:rsid w:val="000D0FB4"/>
    <w:rsid w:val="000F3433"/>
    <w:rsid w:val="00153614"/>
    <w:rsid w:val="00155AA4"/>
    <w:rsid w:val="00173581"/>
    <w:rsid w:val="00183329"/>
    <w:rsid w:val="001847B8"/>
    <w:rsid w:val="0019512F"/>
    <w:rsid w:val="001B52BE"/>
    <w:rsid w:val="001B6478"/>
    <w:rsid w:val="001C62B6"/>
    <w:rsid w:val="001F5A2F"/>
    <w:rsid w:val="00216E98"/>
    <w:rsid w:val="00227AF7"/>
    <w:rsid w:val="00236BDA"/>
    <w:rsid w:val="0026014A"/>
    <w:rsid w:val="00267678"/>
    <w:rsid w:val="002B6CC1"/>
    <w:rsid w:val="002C7B56"/>
    <w:rsid w:val="002D6468"/>
    <w:rsid w:val="003016EC"/>
    <w:rsid w:val="00322803"/>
    <w:rsid w:val="00336691"/>
    <w:rsid w:val="00337996"/>
    <w:rsid w:val="0036088E"/>
    <w:rsid w:val="003A41EC"/>
    <w:rsid w:val="003A78EC"/>
    <w:rsid w:val="003B0F77"/>
    <w:rsid w:val="003D3D1E"/>
    <w:rsid w:val="003F044B"/>
    <w:rsid w:val="003F4A45"/>
    <w:rsid w:val="0044013C"/>
    <w:rsid w:val="00455B09"/>
    <w:rsid w:val="00473430"/>
    <w:rsid w:val="00486EE5"/>
    <w:rsid w:val="004C4ACF"/>
    <w:rsid w:val="00546872"/>
    <w:rsid w:val="005513EF"/>
    <w:rsid w:val="0055398A"/>
    <w:rsid w:val="00592822"/>
    <w:rsid w:val="005B4958"/>
    <w:rsid w:val="005B7D8B"/>
    <w:rsid w:val="005F1807"/>
    <w:rsid w:val="005F4234"/>
    <w:rsid w:val="00623D80"/>
    <w:rsid w:val="00632702"/>
    <w:rsid w:val="0063330F"/>
    <w:rsid w:val="006411D4"/>
    <w:rsid w:val="00643843"/>
    <w:rsid w:val="00661704"/>
    <w:rsid w:val="006716D4"/>
    <w:rsid w:val="0067664B"/>
    <w:rsid w:val="00677BF5"/>
    <w:rsid w:val="006A4F12"/>
    <w:rsid w:val="006D3FAD"/>
    <w:rsid w:val="007130BF"/>
    <w:rsid w:val="0073794C"/>
    <w:rsid w:val="0075251F"/>
    <w:rsid w:val="007528A3"/>
    <w:rsid w:val="00773F41"/>
    <w:rsid w:val="007D56D8"/>
    <w:rsid w:val="007F1B85"/>
    <w:rsid w:val="0086190A"/>
    <w:rsid w:val="008A7AED"/>
    <w:rsid w:val="008B5B26"/>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1C21"/>
    <w:rsid w:val="00A77E95"/>
    <w:rsid w:val="00AA7AC4"/>
    <w:rsid w:val="00AB4BA4"/>
    <w:rsid w:val="00AC7F45"/>
    <w:rsid w:val="00AF7544"/>
    <w:rsid w:val="00B246F4"/>
    <w:rsid w:val="00B56854"/>
    <w:rsid w:val="00B82FC5"/>
    <w:rsid w:val="00B9251F"/>
    <w:rsid w:val="00B9552D"/>
    <w:rsid w:val="00BB16E3"/>
    <w:rsid w:val="00BB562E"/>
    <w:rsid w:val="00BF7B86"/>
    <w:rsid w:val="00C0249D"/>
    <w:rsid w:val="00C42A1C"/>
    <w:rsid w:val="00C43AFE"/>
    <w:rsid w:val="00C47743"/>
    <w:rsid w:val="00C61BAA"/>
    <w:rsid w:val="00C61D7E"/>
    <w:rsid w:val="00D24474"/>
    <w:rsid w:val="00D2507C"/>
    <w:rsid w:val="00D327EA"/>
    <w:rsid w:val="00D34DBA"/>
    <w:rsid w:val="00D54650"/>
    <w:rsid w:val="00D57845"/>
    <w:rsid w:val="00D776C6"/>
    <w:rsid w:val="00DB21DD"/>
    <w:rsid w:val="00DB3D5C"/>
    <w:rsid w:val="00DD7538"/>
    <w:rsid w:val="00E31FD1"/>
    <w:rsid w:val="00E765F4"/>
    <w:rsid w:val="00EC2549"/>
    <w:rsid w:val="00EC5CE8"/>
    <w:rsid w:val="00EE2BE8"/>
    <w:rsid w:val="00F0664A"/>
    <w:rsid w:val="00F300C0"/>
    <w:rsid w:val="00F31D61"/>
    <w:rsid w:val="00F3736C"/>
    <w:rsid w:val="00F73397"/>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B5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072285">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literatur\d_aut\gry\mmf\images\vierfacher%20schriftsinn%20740px.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7D74-FD77-4130-937A-F0A9FE7F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2021-11-28T07:04:00Z</cp:lastPrinted>
  <dcterms:created xsi:type="dcterms:W3CDTF">2021-11-28T07:04:00Z</dcterms:created>
  <dcterms:modified xsi:type="dcterms:W3CDTF">2021-11-28T07:08:00Z</dcterms:modified>
</cp:coreProperties>
</file>